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26C16" w:rsidTr="00035B08">
        <w:trPr>
          <w:jc w:val="center"/>
        </w:trPr>
        <w:tc>
          <w:tcPr>
            <w:tcW w:w="743" w:type="dxa"/>
          </w:tcPr>
          <w:p w:rsidR="00C26C16" w:rsidRPr="008A59EE" w:rsidRDefault="0094424E" w:rsidP="00035B08">
            <w:pPr>
              <w:suppressLineNumbers/>
              <w:spacing w:line="360" w:lineRule="auto"/>
              <w:jc w:val="both"/>
              <w:rPr>
                <w:rFonts w:ascii="Arial" w:hAnsi="Arial"/>
                <w:b/>
                <w:bCs/>
                <w:sz w:val="26"/>
                <w:szCs w:val="26"/>
                <w:rtl/>
              </w:rPr>
            </w:pPr>
            <w:bookmarkStart w:id="0" w:name="_GoBack"/>
            <w:bookmarkEnd w:id="0"/>
            <w:r>
              <w:rPr>
                <w:rtl/>
              </w:rPr>
              <w:t xml:space="preserve"> </w:t>
            </w:r>
            <w:bookmarkStart w:id="1" w:name="NGCSBookmark"/>
            <w:bookmarkEnd w:id="1"/>
            <w:r w:rsidR="00C26C16" w:rsidRPr="008A59EE">
              <w:rPr>
                <w:rFonts w:ascii="Arial" w:hAnsi="Arial" w:hint="cs"/>
                <w:b/>
                <w:bCs/>
                <w:sz w:val="26"/>
                <w:szCs w:val="26"/>
                <w:rtl/>
              </w:rPr>
              <w:t>ב</w:t>
            </w:r>
            <w:r w:rsidR="00C26C16" w:rsidRPr="008A59EE">
              <w:rPr>
                <w:rFonts w:ascii="Arial" w:hAnsi="Arial"/>
                <w:b/>
                <w:bCs/>
                <w:sz w:val="26"/>
                <w:szCs w:val="26"/>
                <w:rtl/>
              </w:rPr>
              <w:t xml:space="preserve">פני </w:t>
            </w:r>
          </w:p>
        </w:tc>
        <w:tc>
          <w:tcPr>
            <w:tcW w:w="8077" w:type="dxa"/>
            <w:gridSpan w:val="2"/>
          </w:tcPr>
          <w:p w:rsidR="00C26C16" w:rsidRPr="008A59EE" w:rsidRDefault="00C26C16" w:rsidP="00035B08">
            <w:pPr>
              <w:suppressLineNumbers/>
              <w:spacing w:line="360" w:lineRule="auto"/>
              <w:rPr>
                <w:rFonts w:ascii="Arial" w:hAnsi="Arial"/>
                <w:b/>
                <w:bCs/>
                <w:sz w:val="26"/>
                <w:szCs w:val="26"/>
                <w:rtl/>
              </w:rPr>
            </w:pPr>
            <w:r w:rsidRPr="008A59EE">
              <w:rPr>
                <w:rFonts w:ascii="Arial" w:hAnsi="Arial" w:hint="cs"/>
                <w:b/>
                <w:bCs/>
                <w:sz w:val="26"/>
                <w:szCs w:val="26"/>
                <w:rtl/>
              </w:rPr>
              <w:t>כבוד ה</w:t>
            </w:r>
            <w:sdt>
              <w:sdtPr>
                <w:rPr>
                  <w:sz w:val="26"/>
                  <w:szCs w:val="26"/>
                  <w:rtl/>
                </w:rPr>
                <w:alias w:val="1574"/>
                <w:tag w:val="1574"/>
                <w:id w:val="-1750879041"/>
                <w:text w:multiLine="1"/>
              </w:sdtPr>
              <w:sdtEndPr/>
              <w:sdtContent>
                <w:r>
                  <w:rPr>
                    <w:rFonts w:ascii="Arial" w:hAnsi="Arial"/>
                    <w:b/>
                    <w:bCs/>
                    <w:sz w:val="26"/>
                    <w:szCs w:val="26"/>
                    <w:rtl/>
                  </w:rPr>
                  <w:t>שופט</w:t>
                </w:r>
              </w:sdtContent>
            </w:sdt>
            <w:r w:rsidRPr="008A59EE">
              <w:rPr>
                <w:rFonts w:ascii="Arial" w:hAnsi="Arial" w:hint="cs"/>
                <w:b/>
                <w:bCs/>
                <w:sz w:val="26"/>
                <w:szCs w:val="26"/>
                <w:rtl/>
              </w:rPr>
              <w:t xml:space="preserve"> </w:t>
            </w:r>
            <w:sdt>
              <w:sdtPr>
                <w:rPr>
                  <w:sz w:val="26"/>
                  <w:szCs w:val="26"/>
                  <w:rtl/>
                </w:rPr>
                <w:alias w:val="1573"/>
                <w:tag w:val="1573"/>
                <w:id w:val="1440336188"/>
                <w:text w:multiLine="1"/>
              </w:sdtPr>
              <w:sdtEndPr/>
              <w:sdtContent>
                <w:r>
                  <w:rPr>
                    <w:rFonts w:ascii="Arial" w:hAnsi="Arial"/>
                    <w:b/>
                    <w:bCs/>
                    <w:sz w:val="26"/>
                    <w:szCs w:val="26"/>
                    <w:rtl/>
                  </w:rPr>
                  <w:t>חננאל שרעבי</w:t>
                </w:r>
              </w:sdtContent>
            </w:sdt>
          </w:p>
          <w:p w:rsidR="00C26C16" w:rsidRPr="008A59EE" w:rsidRDefault="00C26C16" w:rsidP="00035B08">
            <w:pPr>
              <w:suppressLineNumbers/>
              <w:spacing w:line="360" w:lineRule="auto"/>
              <w:rPr>
                <w:sz w:val="26"/>
                <w:szCs w:val="26"/>
              </w:rPr>
            </w:pPr>
          </w:p>
        </w:tc>
      </w:tr>
      <w:tr w:rsidR="00C26C16" w:rsidTr="00035B08">
        <w:trPr>
          <w:jc w:val="center"/>
        </w:trPr>
        <w:tc>
          <w:tcPr>
            <w:tcW w:w="3249" w:type="dxa"/>
            <w:gridSpan w:val="2"/>
          </w:tcPr>
          <w:sdt>
            <w:sdtPr>
              <w:rPr>
                <w:rtl/>
              </w:rPr>
              <w:alias w:val="1180"/>
              <w:tag w:val="1180"/>
              <w:id w:val="1573395493"/>
              <w:text w:multiLine="1"/>
            </w:sdtPr>
            <w:sdtEndPr/>
            <w:sdtContent>
              <w:p w:rsidR="00C26C16" w:rsidRDefault="00C26C16" w:rsidP="00035B08">
                <w:pPr>
                  <w:suppressLineNumbers/>
                  <w:spacing w:line="360" w:lineRule="auto"/>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C26C16" w:rsidRDefault="00CC589E" w:rsidP="00405FDF">
            <w:pPr>
              <w:suppressLineNumbers/>
              <w:spacing w:line="360" w:lineRule="auto"/>
              <w:rPr>
                <w:b/>
                <w:bCs/>
                <w:noProof w:val="0"/>
                <w:sz w:val="26"/>
                <w:szCs w:val="26"/>
              </w:rPr>
            </w:pPr>
            <w:sdt>
              <w:sdtPr>
                <w:rPr>
                  <w:rFonts w:ascii="Arial" w:hAnsi="Arial"/>
                  <w:b/>
                  <w:bCs/>
                  <w:noProof w:val="0"/>
                  <w:sz w:val="26"/>
                  <w:szCs w:val="26"/>
                  <w:rtl/>
                </w:rPr>
                <w:alias w:val="3151"/>
                <w:tag w:val="3151"/>
                <w:id w:val="167144856"/>
                <w:placeholder>
                  <w:docPart w:val="6ED032A673F245B883849137EF75C129"/>
                </w:placeholder>
                <w:text w:multiLine="1"/>
              </w:sdtPr>
              <w:sdtEndPr/>
              <w:sdtContent>
                <w:r w:rsidR="00405FDF">
                  <w:rPr>
                    <w:rFonts w:ascii="Arial" w:hAnsi="Arial" w:hint="cs"/>
                    <w:b/>
                    <w:bCs/>
                    <w:noProof w:val="0"/>
                    <w:sz w:val="26"/>
                    <w:szCs w:val="26"/>
                    <w:rtl/>
                  </w:rPr>
                  <w:t>י. ג</w:t>
                </w:r>
                <w:r w:rsidR="00C26C16">
                  <w:rPr>
                    <w:rFonts w:ascii="Arial" w:hAnsi="Arial"/>
                    <w:b/>
                    <w:bCs/>
                    <w:noProof w:val="0"/>
                    <w:sz w:val="26"/>
                    <w:szCs w:val="26"/>
                    <w:rtl/>
                  </w:rPr>
                  <w:br/>
                </w:r>
                <w:r w:rsidR="00C26C16">
                  <w:rPr>
                    <w:rFonts w:ascii="Arial" w:hAnsi="Arial" w:hint="cs"/>
                    <w:b/>
                    <w:bCs/>
                    <w:noProof w:val="0"/>
                    <w:sz w:val="26"/>
                    <w:szCs w:val="26"/>
                    <w:rtl/>
                  </w:rPr>
                  <w:t xml:space="preserve">ע"י ב"כ עו"ד יוסף נאדר </w:t>
                </w:r>
              </w:sdtContent>
            </w:sdt>
          </w:p>
        </w:tc>
      </w:tr>
      <w:tr w:rsidR="00C26C16" w:rsidTr="00035B08">
        <w:trPr>
          <w:jc w:val="center"/>
        </w:trPr>
        <w:tc>
          <w:tcPr>
            <w:tcW w:w="8820" w:type="dxa"/>
            <w:gridSpan w:val="3"/>
          </w:tcPr>
          <w:p w:rsidR="00C26C16" w:rsidRDefault="00C26C16" w:rsidP="00035B08">
            <w:pPr>
              <w:suppressLineNumbers/>
              <w:spacing w:line="360" w:lineRule="auto"/>
              <w:rPr>
                <w:rFonts w:ascii="Arial" w:hAnsi="Arial"/>
                <w:b/>
                <w:bCs/>
                <w:noProof w:val="0"/>
                <w:sz w:val="26"/>
                <w:szCs w:val="26"/>
                <w:rtl/>
              </w:rPr>
            </w:pPr>
          </w:p>
          <w:p w:rsidR="00C26C16" w:rsidRDefault="00C26C16" w:rsidP="00035B08">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C26C16" w:rsidRDefault="00C26C16" w:rsidP="00035B08">
            <w:pPr>
              <w:suppressLineNumbers/>
              <w:spacing w:line="360" w:lineRule="auto"/>
              <w:rPr>
                <w:rFonts w:ascii="Arial" w:hAnsi="Arial"/>
                <w:b/>
                <w:bCs/>
                <w:noProof w:val="0"/>
                <w:sz w:val="26"/>
                <w:szCs w:val="26"/>
              </w:rPr>
            </w:pPr>
          </w:p>
        </w:tc>
      </w:tr>
      <w:tr w:rsidR="00C26C16" w:rsidTr="00035B08">
        <w:trPr>
          <w:jc w:val="center"/>
        </w:trPr>
        <w:tc>
          <w:tcPr>
            <w:tcW w:w="3249" w:type="dxa"/>
            <w:gridSpan w:val="2"/>
          </w:tcPr>
          <w:p w:rsidR="00C26C16" w:rsidRDefault="00CC589E" w:rsidP="00035B08">
            <w:pPr>
              <w:suppressLineNumbers/>
              <w:spacing w:line="360" w:lineRule="auto"/>
              <w:rPr>
                <w:rFonts w:ascii="Arial" w:hAnsi="Arial"/>
                <w:b/>
                <w:bCs/>
                <w:noProof w:val="0"/>
                <w:sz w:val="26"/>
                <w:szCs w:val="26"/>
              </w:rPr>
            </w:pPr>
            <w:sdt>
              <w:sdtPr>
                <w:rPr>
                  <w:b/>
                  <w:bCs/>
                  <w:rtl/>
                </w:rPr>
                <w:alias w:val="1184"/>
                <w:tag w:val="1184"/>
                <w:id w:val="-1026944031"/>
                <w:text w:multiLine="1"/>
              </w:sdtPr>
              <w:sdtEndPr/>
              <w:sdtContent>
                <w:r w:rsidR="00C26C16">
                  <w:rPr>
                    <w:rFonts w:ascii="Arial" w:hAnsi="Arial"/>
                    <w:b/>
                    <w:bCs/>
                    <w:noProof w:val="0"/>
                    <w:sz w:val="26"/>
                    <w:szCs w:val="26"/>
                    <w:rtl/>
                  </w:rPr>
                  <w:t>משיב</w:t>
                </w:r>
                <w:r w:rsidR="00C26C16">
                  <w:rPr>
                    <w:rFonts w:hint="cs"/>
                    <w:b/>
                    <w:bCs/>
                    <w:rtl/>
                  </w:rPr>
                  <w:t>ה</w:t>
                </w:r>
              </w:sdtContent>
            </w:sdt>
          </w:p>
        </w:tc>
        <w:tc>
          <w:tcPr>
            <w:tcW w:w="5571" w:type="dxa"/>
          </w:tcPr>
          <w:p w:rsidR="00C26C16" w:rsidRPr="00CD516B" w:rsidRDefault="00CC589E" w:rsidP="00405FDF">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642039202"/>
                <w:placeholder>
                  <w:docPart w:val="EF5F2A3745DA4F91ABBE2B633E6DBEB4"/>
                </w:placeholder>
                <w:text w:multiLine="1"/>
              </w:sdtPr>
              <w:sdtEndPr/>
              <w:sdtContent>
                <w:r w:rsidR="00405FDF">
                  <w:rPr>
                    <w:rFonts w:ascii="Arial" w:hAnsi="Arial" w:hint="cs"/>
                    <w:b/>
                    <w:bCs/>
                    <w:noProof w:val="0"/>
                    <w:sz w:val="26"/>
                    <w:szCs w:val="26"/>
                    <w:rtl/>
                  </w:rPr>
                  <w:t>א. ק</w:t>
                </w:r>
              </w:sdtContent>
            </w:sdt>
          </w:p>
        </w:tc>
      </w:tr>
      <w:tr w:rsidR="00C26C16" w:rsidTr="00035B08">
        <w:trPr>
          <w:jc w:val="center"/>
        </w:trPr>
        <w:tc>
          <w:tcPr>
            <w:tcW w:w="8820" w:type="dxa"/>
            <w:gridSpan w:val="3"/>
          </w:tcPr>
          <w:p w:rsidR="00C26C16" w:rsidRDefault="00C26C16" w:rsidP="00035B08">
            <w:pPr>
              <w:suppressLineNumbers/>
              <w:spacing w:line="360" w:lineRule="auto"/>
              <w:rPr>
                <w:rtl/>
              </w:rPr>
            </w:pPr>
          </w:p>
        </w:tc>
      </w:tr>
      <w:tr w:rsidR="00C26C16" w:rsidRPr="00DE1E7D" w:rsidTr="00035B08">
        <w:trPr>
          <w:jc w:val="center"/>
        </w:trPr>
        <w:tc>
          <w:tcPr>
            <w:tcW w:w="8820" w:type="dxa"/>
            <w:gridSpan w:val="3"/>
          </w:tcPr>
          <w:p w:rsidR="00C26C16" w:rsidRPr="00D44968" w:rsidRDefault="00C26C16" w:rsidP="00C26C16">
            <w:pPr>
              <w:bidi w:val="0"/>
              <w:spacing w:after="120" w:line="360" w:lineRule="auto"/>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bl>
    <w:p w:rsidR="00C26C16" w:rsidRDefault="00C26C16" w:rsidP="00C26C16">
      <w:pPr>
        <w:spacing w:before="120" w:line="360" w:lineRule="auto"/>
        <w:ind w:left="720" w:hanging="720"/>
        <w:jc w:val="both"/>
        <w:rPr>
          <w:rFonts w:ascii="Arial" w:hAnsi="Arial"/>
          <w:noProof w:val="0"/>
          <w:rtl/>
        </w:rPr>
      </w:pPr>
      <w:r w:rsidRPr="00A706DF">
        <w:rPr>
          <w:rFonts w:ascii="Arial" w:hAnsi="Arial" w:hint="cs"/>
          <w:noProof w:val="0"/>
          <w:rtl/>
        </w:rPr>
        <w:t>1.</w:t>
      </w:r>
      <w:r>
        <w:rPr>
          <w:rFonts w:ascii="Arial" w:hAnsi="Arial"/>
          <w:noProof w:val="0"/>
          <w:rtl/>
        </w:rPr>
        <w:tab/>
      </w:r>
      <w:r>
        <w:rPr>
          <w:rFonts w:ascii="Arial" w:hAnsi="Arial" w:hint="cs"/>
          <w:noProof w:val="0"/>
          <w:rtl/>
        </w:rPr>
        <w:t xml:space="preserve">עסקינן בבקשת רשות ערעור על החלטת בית משפט לענייני משפחה בקריות (כב' השופטת ליאת דהן חיון), מיום 9.9.2023 בתלה"מ 17951-07-23 (להלן: </w:t>
      </w:r>
      <w:r>
        <w:rPr>
          <w:rFonts w:ascii="Arial" w:hAnsi="Arial" w:hint="cs"/>
          <w:b/>
          <w:bCs/>
          <w:noProof w:val="0"/>
          <w:rtl/>
        </w:rPr>
        <w:t>"ההחלטה קמא"</w:t>
      </w:r>
      <w:r>
        <w:rPr>
          <w:rFonts w:ascii="Arial" w:hAnsi="Arial" w:hint="cs"/>
          <w:noProof w:val="0"/>
          <w:rtl/>
        </w:rPr>
        <w:t xml:space="preserve"> ו-</w:t>
      </w:r>
      <w:r>
        <w:rPr>
          <w:rFonts w:ascii="Arial" w:hAnsi="Arial" w:hint="cs"/>
          <w:b/>
          <w:bCs/>
          <w:noProof w:val="0"/>
          <w:rtl/>
        </w:rPr>
        <w:t xml:space="preserve"> "התיק קמא"</w:t>
      </w:r>
      <w:r>
        <w:rPr>
          <w:rFonts w:ascii="Arial" w:hAnsi="Arial" w:hint="cs"/>
          <w:noProof w:val="0"/>
          <w:rtl/>
        </w:rPr>
        <w:t xml:space="preserve">, בהתאמה), </w:t>
      </w:r>
      <w:r w:rsidRPr="00D87140">
        <w:rPr>
          <w:rFonts w:ascii="Arial" w:hAnsi="Arial" w:hint="cs"/>
          <w:noProof w:val="0"/>
          <w:rtl/>
        </w:rPr>
        <w:t>במסגרתה דחה את בקשת המבקש להפחתת מזונות זמנית</w:t>
      </w:r>
      <w:r>
        <w:rPr>
          <w:rFonts w:ascii="Arial" w:hAnsi="Arial" w:hint="cs"/>
          <w:noProof w:val="0"/>
          <w:rtl/>
        </w:rPr>
        <w:t>, עד להכרעה בתיק העיקרי, עבור קטין בן 14, בנם של המבקש והמשיבה.</w:t>
      </w:r>
    </w:p>
    <w:p w:rsidR="00C26C16" w:rsidRDefault="00C26C16" w:rsidP="00C26C16">
      <w:pPr>
        <w:spacing w:before="120" w:line="360" w:lineRule="auto"/>
        <w:ind w:left="720" w:hanging="720"/>
        <w:jc w:val="both"/>
        <w:rPr>
          <w:rFonts w:ascii="Arial" w:hAnsi="Arial"/>
          <w:noProof w:val="0"/>
          <w:rtl/>
        </w:rPr>
      </w:pPr>
    </w:p>
    <w:p w:rsidR="00C26C16" w:rsidRPr="00D84F03" w:rsidRDefault="00C26C16" w:rsidP="00C26C16">
      <w:pPr>
        <w:spacing w:before="120" w:line="360" w:lineRule="auto"/>
        <w:ind w:left="720" w:hanging="720"/>
        <w:jc w:val="both"/>
        <w:rPr>
          <w:rFonts w:ascii="Arial" w:hAnsi="Arial"/>
          <w:b/>
          <w:bCs/>
          <w:noProof w:val="0"/>
          <w:u w:val="single"/>
          <w:rtl/>
        </w:rPr>
      </w:pPr>
      <w:r w:rsidRPr="00D84F03">
        <w:rPr>
          <w:rFonts w:ascii="Arial" w:hAnsi="Arial" w:hint="cs"/>
          <w:b/>
          <w:bCs/>
          <w:noProof w:val="0"/>
          <w:u w:val="single"/>
          <w:rtl/>
        </w:rPr>
        <w:t>רקע וההחלטה קמא</w:t>
      </w:r>
    </w:p>
    <w:p w:rsidR="00C26C16" w:rsidRDefault="00C26C16" w:rsidP="00405FDF">
      <w:pPr>
        <w:spacing w:before="120" w:line="360" w:lineRule="auto"/>
        <w:ind w:left="720" w:hanging="720"/>
        <w:jc w:val="both"/>
        <w:rPr>
          <w:rFonts w:ascii="David" w:hAnsi="David"/>
          <w:rtl/>
        </w:rPr>
      </w:pPr>
      <w:r>
        <w:rPr>
          <w:rFonts w:ascii="Arial" w:hAnsi="Arial" w:hint="cs"/>
          <w:noProof w:val="0"/>
          <w:rtl/>
        </w:rPr>
        <w:t>2.</w:t>
      </w:r>
      <w:r>
        <w:rPr>
          <w:rFonts w:ascii="Arial" w:hAnsi="Arial" w:hint="cs"/>
          <w:noProof w:val="0"/>
          <w:rtl/>
        </w:rPr>
        <w:tab/>
      </w:r>
      <w:r>
        <w:rPr>
          <w:rFonts w:ascii="David" w:hAnsi="David" w:hint="cs"/>
          <w:rtl/>
        </w:rPr>
        <w:t>המבקש</w:t>
      </w:r>
      <w:r>
        <w:rPr>
          <w:rFonts w:ascii="David" w:hAnsi="David"/>
          <w:rtl/>
        </w:rPr>
        <w:t xml:space="preserve">  (להלן</w:t>
      </w:r>
      <w:r>
        <w:rPr>
          <w:rFonts w:ascii="David" w:hAnsi="David" w:hint="cs"/>
          <w:rtl/>
        </w:rPr>
        <w:t xml:space="preserve"> גם</w:t>
      </w:r>
      <w:r>
        <w:rPr>
          <w:rFonts w:ascii="David" w:hAnsi="David"/>
          <w:rtl/>
        </w:rPr>
        <w:t xml:space="preserve">: </w:t>
      </w:r>
      <w:r>
        <w:rPr>
          <w:rFonts w:ascii="David" w:hAnsi="David"/>
          <w:b/>
          <w:bCs/>
          <w:rtl/>
        </w:rPr>
        <w:t>"האב"</w:t>
      </w:r>
      <w:r>
        <w:rPr>
          <w:rFonts w:ascii="David" w:hAnsi="David"/>
          <w:rtl/>
        </w:rPr>
        <w:t xml:space="preserve">) </w:t>
      </w:r>
      <w:r>
        <w:rPr>
          <w:rFonts w:ascii="David" w:hAnsi="David" w:hint="cs"/>
          <w:rtl/>
        </w:rPr>
        <w:t>והמשיבה</w:t>
      </w:r>
      <w:r>
        <w:rPr>
          <w:rFonts w:ascii="David" w:hAnsi="David"/>
          <w:rtl/>
        </w:rPr>
        <w:t xml:space="preserve"> (להלן</w:t>
      </w:r>
      <w:r>
        <w:rPr>
          <w:rFonts w:ascii="David" w:hAnsi="David" w:hint="cs"/>
          <w:rtl/>
        </w:rPr>
        <w:t xml:space="preserve"> גם</w:t>
      </w:r>
      <w:r>
        <w:rPr>
          <w:rFonts w:ascii="David" w:hAnsi="David"/>
          <w:rtl/>
        </w:rPr>
        <w:t xml:space="preserve">: </w:t>
      </w:r>
      <w:r>
        <w:rPr>
          <w:rFonts w:ascii="David" w:hAnsi="David"/>
          <w:b/>
          <w:bCs/>
          <w:rtl/>
        </w:rPr>
        <w:t>"האם"</w:t>
      </w:r>
      <w:r>
        <w:rPr>
          <w:rFonts w:ascii="David" w:hAnsi="David"/>
          <w:rtl/>
        </w:rPr>
        <w:t xml:space="preserve">) ניהלו מערכת יחסים בשנת 2008, כתוצאה ממנה נולד הקטין יליד </w:t>
      </w:r>
      <w:r w:rsidR="00405FDF">
        <w:rPr>
          <w:rFonts w:ascii="David" w:hAnsi="David" w:hint="cs"/>
          <w:rtl/>
        </w:rPr>
        <w:t>....</w:t>
      </w:r>
      <w:r>
        <w:rPr>
          <w:rFonts w:ascii="David" w:hAnsi="David"/>
          <w:rtl/>
        </w:rPr>
        <w:t xml:space="preserve"> (בן 14) (להלן: </w:t>
      </w:r>
      <w:r>
        <w:rPr>
          <w:rFonts w:ascii="David" w:hAnsi="David"/>
          <w:b/>
          <w:bCs/>
          <w:rtl/>
        </w:rPr>
        <w:t>"הקטין"</w:t>
      </w:r>
      <w:r>
        <w:rPr>
          <w:rFonts w:ascii="David" w:hAnsi="David"/>
          <w:rtl/>
        </w:rPr>
        <w:t xml:space="preserve">). </w:t>
      </w:r>
    </w:p>
    <w:p w:rsidR="00C26C16" w:rsidRDefault="00C26C16" w:rsidP="00C26C16">
      <w:pPr>
        <w:spacing w:before="120" w:line="360" w:lineRule="auto"/>
        <w:ind w:left="720" w:hanging="720"/>
        <w:jc w:val="both"/>
        <w:rPr>
          <w:rFonts w:ascii="Arial" w:hAnsi="Arial"/>
          <w:noProof w:val="0"/>
          <w:rtl/>
        </w:rPr>
      </w:pPr>
      <w:r>
        <w:rPr>
          <w:rFonts w:ascii="David" w:hAnsi="David"/>
          <w:rtl/>
        </w:rPr>
        <w:tab/>
        <w:t xml:space="preserve">המשיבה יהודייה ולה בן נוסף מנישואים קודמים, והמבקש חסר דת. </w:t>
      </w:r>
    </w:p>
    <w:p w:rsidR="00C26C16" w:rsidRDefault="00C26C16" w:rsidP="00C26C16">
      <w:pPr>
        <w:spacing w:before="120" w:line="360" w:lineRule="auto"/>
        <w:ind w:left="720" w:hanging="720"/>
        <w:jc w:val="both"/>
        <w:rPr>
          <w:rFonts w:ascii="David" w:hAnsi="David"/>
          <w:rtl/>
        </w:rPr>
      </w:pPr>
      <w:r>
        <w:rPr>
          <w:rFonts w:ascii="Arial" w:hAnsi="Arial" w:hint="cs"/>
          <w:noProof w:val="0"/>
          <w:rtl/>
        </w:rPr>
        <w:t>3.</w:t>
      </w:r>
      <w:r>
        <w:rPr>
          <w:rFonts w:ascii="Arial" w:hAnsi="Arial" w:hint="cs"/>
          <w:noProof w:val="0"/>
          <w:rtl/>
        </w:rPr>
        <w:tab/>
      </w:r>
      <w:r>
        <w:rPr>
          <w:rFonts w:ascii="David" w:hAnsi="David" w:hint="cs"/>
          <w:rtl/>
        </w:rPr>
        <w:t>ב</w:t>
      </w:r>
      <w:r>
        <w:rPr>
          <w:rFonts w:ascii="David" w:hAnsi="David"/>
          <w:rtl/>
        </w:rPr>
        <w:t>ין הצדדים התנהל הליך להסדרת זמני שהות (תמ"ש 19931-01-11) בין האב לקטין אשר לא צלח בשל חוסר שיתוף פעולה מצדו. האב טוען שלאחרונה קיים מס</w:t>
      </w:r>
      <w:r>
        <w:rPr>
          <w:rFonts w:ascii="David" w:hAnsi="David" w:hint="cs"/>
          <w:rtl/>
        </w:rPr>
        <w:t xml:space="preserve">פר </w:t>
      </w:r>
      <w:r>
        <w:rPr>
          <w:rFonts w:ascii="David" w:hAnsi="David"/>
          <w:rtl/>
        </w:rPr>
        <w:t>מפגשים ספונטניים עם הקטין</w:t>
      </w:r>
      <w:r>
        <w:rPr>
          <w:rFonts w:ascii="David" w:hAnsi="David" w:hint="cs"/>
          <w:rtl/>
        </w:rPr>
        <w:t xml:space="preserve">. </w:t>
      </w:r>
      <w:r>
        <w:rPr>
          <w:rFonts w:ascii="David" w:hAnsi="David"/>
          <w:rtl/>
        </w:rPr>
        <w:t>מנגד, האם טוענת שלא מתקיים קשר והמפגשים נוצרו לצורך הגשת התביעה להפחתת המזונות</w:t>
      </w:r>
      <w:r>
        <w:rPr>
          <w:rFonts w:ascii="David" w:hAnsi="David" w:hint="cs"/>
          <w:rtl/>
        </w:rPr>
        <w:t xml:space="preserve"> </w:t>
      </w:r>
      <w:r w:rsidRPr="00D87140">
        <w:rPr>
          <w:rFonts w:ascii="David" w:hAnsi="David" w:hint="cs"/>
          <w:rtl/>
        </w:rPr>
        <w:t>(היא התביעה קמא).</w:t>
      </w:r>
    </w:p>
    <w:p w:rsidR="00C26C16" w:rsidRDefault="00C26C16" w:rsidP="00C26C16">
      <w:pPr>
        <w:spacing w:before="120" w:line="360" w:lineRule="auto"/>
        <w:ind w:left="720" w:hanging="720"/>
        <w:jc w:val="both"/>
        <w:rPr>
          <w:rFonts w:ascii="David" w:hAnsi="David"/>
          <w:rtl/>
        </w:rPr>
      </w:pPr>
      <w:r>
        <w:rPr>
          <w:rFonts w:ascii="David" w:hAnsi="David" w:hint="cs"/>
          <w:rtl/>
        </w:rPr>
        <w:t>4.</w:t>
      </w:r>
      <w:r>
        <w:rPr>
          <w:rFonts w:ascii="David" w:hAnsi="David" w:hint="cs"/>
          <w:rtl/>
        </w:rPr>
        <w:tab/>
      </w:r>
      <w:r>
        <w:rPr>
          <w:rFonts w:ascii="David" w:hAnsi="David"/>
          <w:rtl/>
        </w:rPr>
        <w:t xml:space="preserve">ביום 10.2.15 מונתה האם בעלת סמכויות בלעדיות עבור הקטין לאור הנתק ארוך השנים עם האב. </w:t>
      </w:r>
    </w:p>
    <w:p w:rsidR="00C26C16" w:rsidRDefault="00C26C16" w:rsidP="00C26C16">
      <w:pPr>
        <w:spacing w:before="120" w:line="360" w:lineRule="auto"/>
        <w:ind w:left="720" w:hanging="720"/>
        <w:jc w:val="both"/>
        <w:rPr>
          <w:rFonts w:ascii="David" w:hAnsi="David"/>
          <w:rtl/>
        </w:rPr>
      </w:pPr>
      <w:r>
        <w:rPr>
          <w:rFonts w:ascii="David" w:hAnsi="David" w:hint="cs"/>
          <w:rtl/>
        </w:rPr>
        <w:t>5.</w:t>
      </w:r>
      <w:r>
        <w:rPr>
          <w:rFonts w:ascii="David" w:hAnsi="David" w:hint="cs"/>
          <w:rtl/>
        </w:rPr>
        <w:tab/>
      </w:r>
      <w:r>
        <w:rPr>
          <w:rFonts w:ascii="David" w:hAnsi="David"/>
          <w:rtl/>
        </w:rPr>
        <w:t>ביום 13.6.12 אושרה בתוקף של פס"ד הסכמת הצדדים</w:t>
      </w:r>
      <w:r>
        <w:rPr>
          <w:rFonts w:ascii="David" w:hAnsi="David" w:hint="cs"/>
          <w:rtl/>
        </w:rPr>
        <w:t>,</w:t>
      </w:r>
      <w:r>
        <w:rPr>
          <w:rFonts w:ascii="David" w:hAnsi="David"/>
          <w:rtl/>
        </w:rPr>
        <w:t xml:space="preserve"> לפיה המבקש חוייב במזונות הקטין בסכום גלובאלי בסך של 1,100 ₪</w:t>
      </w:r>
      <w:r>
        <w:rPr>
          <w:rFonts w:ascii="David" w:hAnsi="David" w:hint="cs"/>
          <w:rtl/>
        </w:rPr>
        <w:t xml:space="preserve"> לחודש</w:t>
      </w:r>
      <w:r>
        <w:rPr>
          <w:rFonts w:ascii="David" w:hAnsi="David"/>
          <w:rtl/>
        </w:rPr>
        <w:t xml:space="preserve"> הכולל את הוצאות המדור והוצאות החינוך, בתוספת מחצית ההוצאות הרפואיות (תמ"ש 19890-01-11). הסכמה זו התבססה על ההנחה ולפיה האב יפעל לחידוש הקשר עם הקטין ויתקיימו זמני שהות, כמו גם על כך שהמבקש לא עבד והתקיים מקבצת נכות בלבד. </w:t>
      </w:r>
    </w:p>
    <w:p w:rsidR="00C26C16" w:rsidRDefault="00C26C16" w:rsidP="00C26C16">
      <w:pPr>
        <w:spacing w:before="120" w:line="360" w:lineRule="auto"/>
        <w:ind w:left="720" w:hanging="720"/>
        <w:jc w:val="both"/>
        <w:rPr>
          <w:rFonts w:ascii="David" w:hAnsi="David"/>
          <w:rtl/>
        </w:rPr>
      </w:pPr>
      <w:r>
        <w:rPr>
          <w:rFonts w:ascii="David" w:hAnsi="David" w:hint="cs"/>
          <w:rtl/>
        </w:rPr>
        <w:t>6.</w:t>
      </w:r>
      <w:r>
        <w:rPr>
          <w:rFonts w:ascii="David" w:hAnsi="David" w:hint="cs"/>
          <w:rtl/>
        </w:rPr>
        <w:tab/>
      </w:r>
      <w:r>
        <w:rPr>
          <w:rFonts w:ascii="David" w:hAnsi="David"/>
          <w:rtl/>
        </w:rPr>
        <w:t xml:space="preserve">בהמשך, המשיבה עתרה להגדלת מזנות הקטין (תמ"ש 36373-8-13) וביום 18.12.13 ניתנה החלטה </w:t>
      </w:r>
      <w:r>
        <w:rPr>
          <w:rFonts w:ascii="David" w:hAnsi="David" w:hint="cs"/>
          <w:rtl/>
        </w:rPr>
        <w:t>ב</w:t>
      </w:r>
      <w:r>
        <w:rPr>
          <w:rFonts w:ascii="David" w:hAnsi="David"/>
          <w:rtl/>
        </w:rPr>
        <w:t>מסגרתה הוגדלו דמי המזונות לסך של 2,500 ₪ לחודש</w:t>
      </w:r>
      <w:r>
        <w:rPr>
          <w:rFonts w:ascii="David" w:hAnsi="David" w:hint="cs"/>
          <w:rtl/>
        </w:rPr>
        <w:t>,</w:t>
      </w:r>
      <w:r>
        <w:rPr>
          <w:rFonts w:ascii="David" w:hAnsi="David"/>
          <w:rtl/>
        </w:rPr>
        <w:t xml:space="preserve"> כאשר סכום זה כולל את הוצאות המדור </w:t>
      </w:r>
      <w:r>
        <w:rPr>
          <w:rFonts w:ascii="David" w:hAnsi="David"/>
          <w:rtl/>
        </w:rPr>
        <w:lastRenderedPageBreak/>
        <w:t xml:space="preserve">והוצאות החינוך, בתוספת מחצית הוצאות רפואיות חריגות. החלטה זו התבססה על העובדה שהקשר בין האב לקטין לא חודש, כמו גם שהאב החל לעבוד. </w:t>
      </w:r>
    </w:p>
    <w:p w:rsidR="00C26C16" w:rsidRDefault="00C26C16" w:rsidP="00C26C16">
      <w:pPr>
        <w:spacing w:before="120" w:line="360" w:lineRule="auto"/>
        <w:ind w:left="720" w:hanging="720"/>
        <w:jc w:val="both"/>
        <w:rPr>
          <w:rFonts w:ascii="David" w:hAnsi="David"/>
          <w:rtl/>
        </w:rPr>
      </w:pPr>
      <w:r>
        <w:rPr>
          <w:rFonts w:ascii="David" w:hAnsi="David"/>
          <w:rtl/>
        </w:rPr>
        <w:tab/>
        <w:t>ביום 3.4.14</w:t>
      </w:r>
      <w:r>
        <w:rPr>
          <w:rFonts w:ascii="David" w:hAnsi="David"/>
          <w:b/>
          <w:bCs/>
          <w:rtl/>
        </w:rPr>
        <w:t xml:space="preserve"> </w:t>
      </w:r>
      <w:r>
        <w:rPr>
          <w:rFonts w:ascii="David" w:hAnsi="David"/>
          <w:rtl/>
        </w:rPr>
        <w:t xml:space="preserve">ובמסגרת דיון אליו לא התייצב המבקש, כמו גם לאחר שלא הגיש כתב הגנה, אושרו דמי המזונות בתוקף של פס"ד. </w:t>
      </w:r>
    </w:p>
    <w:p w:rsidR="00C26C16" w:rsidRDefault="00C26C16" w:rsidP="00C26C16">
      <w:pPr>
        <w:spacing w:before="120" w:line="360" w:lineRule="auto"/>
        <w:ind w:left="720" w:hanging="720"/>
        <w:jc w:val="both"/>
        <w:rPr>
          <w:rFonts w:ascii="David" w:hAnsi="David"/>
          <w:rtl/>
        </w:rPr>
      </w:pPr>
      <w:r>
        <w:rPr>
          <w:rFonts w:ascii="David" w:hAnsi="David" w:hint="cs"/>
          <w:rtl/>
        </w:rPr>
        <w:t>7.</w:t>
      </w:r>
      <w:r>
        <w:rPr>
          <w:rFonts w:ascii="David" w:hAnsi="David" w:hint="cs"/>
          <w:rtl/>
        </w:rPr>
        <w:tab/>
      </w:r>
      <w:r>
        <w:rPr>
          <w:rFonts w:ascii="David" w:hAnsi="David"/>
          <w:rtl/>
        </w:rPr>
        <w:t xml:space="preserve">ביום 4.12.18 </w:t>
      </w:r>
      <w:r>
        <w:rPr>
          <w:rFonts w:ascii="David" w:hAnsi="David" w:hint="cs"/>
          <w:rtl/>
        </w:rPr>
        <w:t>הגיש</w:t>
      </w:r>
      <w:r>
        <w:rPr>
          <w:rFonts w:ascii="David" w:hAnsi="David"/>
          <w:rtl/>
        </w:rPr>
        <w:t xml:space="preserve"> המבקש תביעה להפחתת דמי המזונות שנקבעו, וזו </w:t>
      </w:r>
      <w:r w:rsidRPr="00595291">
        <w:rPr>
          <w:rFonts w:ascii="David" w:hAnsi="David"/>
          <w:u w:val="single"/>
          <w:rtl/>
        </w:rPr>
        <w:t>נמחקה</w:t>
      </w:r>
      <w:r>
        <w:rPr>
          <w:rFonts w:ascii="David" w:hAnsi="David"/>
          <w:rtl/>
        </w:rPr>
        <w:t xml:space="preserve"> ביום 29.7.20 בשל אי קיום החלטות בית המשפט (</w:t>
      </w:r>
      <w:r>
        <w:rPr>
          <w:rFonts w:ascii="David" w:hAnsi="David" w:hint="cs"/>
          <w:rtl/>
        </w:rPr>
        <w:t xml:space="preserve">תמ"ש </w:t>
      </w:r>
      <w:r>
        <w:rPr>
          <w:rFonts w:ascii="David" w:hAnsi="David"/>
          <w:rtl/>
        </w:rPr>
        <w:t xml:space="preserve">8196-12-18). במסגרת תביעתו טען </w:t>
      </w:r>
      <w:r w:rsidRPr="00D87140">
        <w:rPr>
          <w:rFonts w:ascii="David" w:hAnsi="David" w:hint="cs"/>
          <w:rtl/>
        </w:rPr>
        <w:t>המבקש</w:t>
      </w:r>
      <w:r>
        <w:rPr>
          <w:rFonts w:ascii="David" w:hAnsi="David" w:hint="cs"/>
          <w:rtl/>
        </w:rPr>
        <w:t xml:space="preserve"> </w:t>
      </w:r>
      <w:r>
        <w:rPr>
          <w:rFonts w:ascii="David" w:hAnsi="David"/>
          <w:rtl/>
        </w:rPr>
        <w:t xml:space="preserve">שמתקיים מגמלאות המשולמות לו ע"י המל"ל לאחר שנקבעה לו דרגת נכות שיעור של 69% ודרגת אי כושר בשיעור של 60%. </w:t>
      </w:r>
    </w:p>
    <w:p w:rsidR="00C26C16" w:rsidRDefault="00C26C16" w:rsidP="00C26C16">
      <w:pPr>
        <w:spacing w:before="120" w:line="360" w:lineRule="auto"/>
        <w:ind w:left="720" w:hanging="720"/>
        <w:jc w:val="both"/>
        <w:rPr>
          <w:rFonts w:ascii="David" w:hAnsi="David"/>
          <w:rtl/>
        </w:rPr>
      </w:pPr>
      <w:r>
        <w:rPr>
          <w:rFonts w:ascii="David" w:hAnsi="David" w:hint="cs"/>
          <w:rtl/>
        </w:rPr>
        <w:t>8.</w:t>
      </w:r>
      <w:r>
        <w:rPr>
          <w:rFonts w:ascii="David" w:hAnsi="David" w:hint="cs"/>
          <w:rtl/>
        </w:rPr>
        <w:tab/>
        <w:t>המבקש הגיש את התובענה קמא ביום 7.7.2023, להפחתת דמי המזונות לקטין כך שיעמדו על סך של 1000 ₪ לחודש, החל מיום 4.9.2022, או אז לטענתו חל שינוי הנסיבות המצדיק הפחתה זו, כפי שיתואר להלן.</w:t>
      </w:r>
    </w:p>
    <w:p w:rsidR="00C26C16" w:rsidRDefault="00C26C16" w:rsidP="00C26C16">
      <w:pPr>
        <w:spacing w:before="120" w:line="360" w:lineRule="auto"/>
        <w:ind w:left="720" w:hanging="720"/>
        <w:jc w:val="both"/>
        <w:rPr>
          <w:rFonts w:ascii="David" w:hAnsi="David"/>
          <w:rtl/>
        </w:rPr>
      </w:pPr>
      <w:r>
        <w:rPr>
          <w:rFonts w:ascii="David" w:hAnsi="David" w:hint="cs"/>
          <w:rtl/>
        </w:rPr>
        <w:t>9.</w:t>
      </w:r>
      <w:r>
        <w:rPr>
          <w:rFonts w:ascii="David" w:hAnsi="David" w:hint="cs"/>
          <w:rtl/>
        </w:rPr>
        <w:tab/>
        <w:t>יומיים לאחר הגשת התובענה קמא, הגיש במסגרתה "</w:t>
      </w:r>
      <w:r w:rsidRPr="00595291">
        <w:rPr>
          <w:rFonts w:ascii="David" w:hAnsi="David" w:hint="cs"/>
          <w:b/>
          <w:bCs/>
          <w:rtl/>
        </w:rPr>
        <w:t>בקשה דחופה להפחתת מזונות זמני עד להכרעה בתיק העיקרי</w:t>
      </w:r>
      <w:r>
        <w:rPr>
          <w:rFonts w:ascii="David" w:hAnsi="David" w:hint="cs"/>
          <w:rtl/>
        </w:rPr>
        <w:t>". ההחלטה נשוא בקשת רשות ערעור זו, היא החלטה אשר דחתה בקשה זו של המבקש.</w:t>
      </w:r>
    </w:p>
    <w:p w:rsidR="00C26C16" w:rsidRDefault="00C26C16" w:rsidP="00C26C16">
      <w:pPr>
        <w:spacing w:before="120" w:line="360" w:lineRule="auto"/>
        <w:ind w:left="720" w:hanging="720"/>
        <w:jc w:val="both"/>
        <w:rPr>
          <w:rFonts w:ascii="David" w:hAnsi="David"/>
          <w:b/>
          <w:bCs/>
          <w:u w:val="single"/>
          <w:rtl/>
        </w:rPr>
      </w:pPr>
      <w:r>
        <w:rPr>
          <w:rFonts w:ascii="David" w:hAnsi="David" w:hint="cs"/>
          <w:rtl/>
        </w:rPr>
        <w:t>10.</w:t>
      </w:r>
      <w:r>
        <w:rPr>
          <w:rFonts w:ascii="David" w:hAnsi="David" w:hint="cs"/>
          <w:rtl/>
        </w:rPr>
        <w:tab/>
      </w:r>
      <w:r>
        <w:rPr>
          <w:rFonts w:ascii="David" w:hAnsi="David" w:hint="cs"/>
          <w:b/>
          <w:bCs/>
          <w:u w:val="single"/>
          <w:rtl/>
        </w:rPr>
        <w:t>טענות</w:t>
      </w:r>
      <w:r>
        <w:rPr>
          <w:rFonts w:ascii="David" w:hAnsi="David"/>
          <w:b/>
          <w:bCs/>
          <w:u w:val="single"/>
          <w:rtl/>
        </w:rPr>
        <w:t xml:space="preserve"> המבקש</w:t>
      </w:r>
      <w:r>
        <w:rPr>
          <w:rFonts w:ascii="David" w:hAnsi="David" w:hint="cs"/>
          <w:b/>
          <w:bCs/>
          <w:u w:val="single"/>
          <w:rtl/>
        </w:rPr>
        <w:t xml:space="preserve"> בבקשתו קמא היו כדלקמן:</w:t>
      </w:r>
    </w:p>
    <w:p w:rsidR="00C26C16" w:rsidRDefault="00C26C16" w:rsidP="003976BD">
      <w:pPr>
        <w:spacing w:before="120" w:line="360" w:lineRule="auto"/>
        <w:ind w:left="1361" w:hanging="652"/>
        <w:jc w:val="both"/>
        <w:rPr>
          <w:rFonts w:ascii="David" w:hAnsi="David"/>
          <w:rtl/>
        </w:rPr>
      </w:pPr>
      <w:r>
        <w:rPr>
          <w:rFonts w:ascii="David" w:hAnsi="David" w:hint="cs"/>
          <w:rtl/>
        </w:rPr>
        <w:t>א.</w:t>
      </w:r>
      <w:r>
        <w:rPr>
          <w:rFonts w:ascii="David" w:hAnsi="David" w:hint="cs"/>
          <w:rtl/>
        </w:rPr>
        <w:tab/>
        <w:t xml:space="preserve">המבקש </w:t>
      </w:r>
      <w:r>
        <w:rPr>
          <w:rFonts w:ascii="David" w:hAnsi="David"/>
          <w:rtl/>
        </w:rPr>
        <w:t>לא פעל במסגרת ההליך הקודם בהתאם להחלטות בית המשפט לאחר שב</w:t>
      </w:r>
      <w:r>
        <w:rPr>
          <w:rFonts w:ascii="David" w:hAnsi="David" w:hint="cs"/>
          <w:rtl/>
        </w:rPr>
        <w:t>א כוחו</w:t>
      </w:r>
      <w:r>
        <w:rPr>
          <w:rFonts w:ascii="David" w:hAnsi="David"/>
          <w:rtl/>
        </w:rPr>
        <w:t xml:space="preserve"> שם הפסיק לייצגו. לטענתו, במועד בו ניתן פסק דין בתביעת המשיבה להגדלת דמי המזונות בהתאם לו חוייב  בתשלום חודשי בסך 2,500 ₪, השתכר סך של  9,000 ₪ בחודש</w:t>
      </w:r>
      <w:r>
        <w:rPr>
          <w:rFonts w:ascii="David" w:hAnsi="David" w:hint="cs"/>
          <w:rtl/>
        </w:rPr>
        <w:t xml:space="preserve">. </w:t>
      </w:r>
      <w:r>
        <w:rPr>
          <w:rFonts w:ascii="David" w:hAnsi="David"/>
          <w:rtl/>
        </w:rPr>
        <w:t>מאז חל שינוי נסיבות מהותי במצבו הכלכלי עקב הדרדרות נוספת במצבו הרפואי וכושר השתכרותו</w:t>
      </w:r>
      <w:r>
        <w:rPr>
          <w:rFonts w:ascii="David" w:hAnsi="David" w:hint="cs"/>
          <w:rtl/>
        </w:rPr>
        <w:t>,</w:t>
      </w:r>
      <w:r>
        <w:rPr>
          <w:rFonts w:ascii="David" w:hAnsi="David"/>
          <w:rtl/>
        </w:rPr>
        <w:t xml:space="preserve"> </w:t>
      </w:r>
      <w:r>
        <w:rPr>
          <w:rFonts w:ascii="David" w:hAnsi="David" w:hint="cs"/>
          <w:rtl/>
        </w:rPr>
        <w:t>עד ש</w:t>
      </w:r>
      <w:r>
        <w:rPr>
          <w:rFonts w:ascii="David" w:hAnsi="David"/>
          <w:rtl/>
        </w:rPr>
        <w:t xml:space="preserve">נשקפת סכנה לחייו. </w:t>
      </w:r>
    </w:p>
    <w:p w:rsidR="00C26C16" w:rsidRDefault="00C26C16" w:rsidP="003976BD">
      <w:pPr>
        <w:spacing w:before="120" w:line="360" w:lineRule="auto"/>
        <w:ind w:left="1361" w:hanging="652"/>
        <w:jc w:val="both"/>
        <w:rPr>
          <w:rFonts w:ascii="David" w:hAnsi="David"/>
          <w:rtl/>
        </w:rPr>
      </w:pPr>
      <w:r>
        <w:rPr>
          <w:rFonts w:ascii="David" w:hAnsi="David" w:hint="cs"/>
          <w:rtl/>
        </w:rPr>
        <w:t xml:space="preserve"> ב.</w:t>
      </w:r>
      <w:r>
        <w:rPr>
          <w:rFonts w:ascii="David" w:hAnsi="David" w:hint="cs"/>
          <w:rtl/>
        </w:rPr>
        <w:tab/>
      </w:r>
      <w:r>
        <w:rPr>
          <w:rFonts w:ascii="David" w:hAnsi="David"/>
          <w:rtl/>
        </w:rPr>
        <w:t xml:space="preserve">לדבריו, בשנת 2021 נקבעה לו נכות רפואית בשיעור 69% ואי כושר עבודה 60%. בשנת 2022 עבר ניתוח מעקפים בשל מפרצת באבי העורקים ונקבעה לו נכות רפואית 100% ואי כושר עבודה 100% לתקופה זמנית שבין  4.9.22 – 31.12.22. מיום 1.1.23 נקבעה לו נכות רפואית 85% ודרגת אי כושר 65%. על קביעה דרגת אי כושר עבודה הגיש ערעור </w:t>
      </w:r>
      <w:r w:rsidRPr="00D87140">
        <w:rPr>
          <w:rFonts w:ascii="David" w:hAnsi="David"/>
          <w:rtl/>
        </w:rPr>
        <w:t xml:space="preserve">לבית </w:t>
      </w:r>
      <w:r w:rsidRPr="00D87140">
        <w:rPr>
          <w:rFonts w:ascii="David" w:hAnsi="David" w:hint="cs"/>
          <w:rtl/>
        </w:rPr>
        <w:t>הדין לעבודה</w:t>
      </w:r>
      <w:r>
        <w:rPr>
          <w:rFonts w:ascii="David" w:hAnsi="David"/>
          <w:rtl/>
        </w:rPr>
        <w:t xml:space="preserve">, וכיום הוא מתקיים מהכנסה חודשית בסך 4,247 ₪ הכוללת קצבת נכות מהביטוח לאומי בסך של 2,747 ₪ נטו והכנסה מעבודות מזדמנות בסך של כ 1,500 ₪. </w:t>
      </w:r>
    </w:p>
    <w:p w:rsidR="00C26C16" w:rsidRDefault="00405FDF" w:rsidP="003976BD">
      <w:pPr>
        <w:spacing w:before="120" w:line="360" w:lineRule="auto"/>
        <w:ind w:left="1417" w:hanging="652"/>
        <w:jc w:val="both"/>
        <w:rPr>
          <w:rFonts w:ascii="David" w:hAnsi="David"/>
          <w:rtl/>
        </w:rPr>
      </w:pPr>
      <w:r>
        <w:rPr>
          <w:rFonts w:ascii="David" w:hAnsi="David" w:hint="cs"/>
          <w:rtl/>
        </w:rPr>
        <w:t>ג.</w:t>
      </w:r>
      <w:r>
        <w:rPr>
          <w:rFonts w:ascii="David" w:hAnsi="David"/>
          <w:rtl/>
        </w:rPr>
        <w:tab/>
      </w:r>
      <w:r w:rsidR="00C26C16">
        <w:rPr>
          <w:rFonts w:ascii="David" w:hAnsi="David" w:hint="cs"/>
          <w:rtl/>
        </w:rPr>
        <w:t>ל</w:t>
      </w:r>
      <w:r w:rsidR="00C26C16">
        <w:rPr>
          <w:rFonts w:ascii="David" w:hAnsi="David"/>
          <w:rtl/>
        </w:rPr>
        <w:t>אחרונה מצבו הרפואי והנפשי החמיר ואינו עומד בתשלום הוצאותי</w:t>
      </w:r>
      <w:r w:rsidR="003976BD">
        <w:rPr>
          <w:rFonts w:ascii="David" w:hAnsi="David"/>
          <w:rtl/>
        </w:rPr>
        <w:t>ו המסתכמות בסך של 7,459 ₪ לחודש</w:t>
      </w:r>
      <w:r w:rsidR="00C26C16">
        <w:rPr>
          <w:rFonts w:ascii="David" w:hAnsi="David" w:hint="cs"/>
          <w:rtl/>
        </w:rPr>
        <w:t>. הוצאות אלה כ</w:t>
      </w:r>
      <w:r w:rsidR="00C26C16">
        <w:rPr>
          <w:rFonts w:ascii="David" w:hAnsi="David"/>
          <w:rtl/>
        </w:rPr>
        <w:t>וללות</w:t>
      </w:r>
      <w:r w:rsidR="00C26C16">
        <w:rPr>
          <w:rFonts w:ascii="David" w:hAnsi="David" w:hint="cs"/>
          <w:rtl/>
        </w:rPr>
        <w:t>:</w:t>
      </w:r>
      <w:r w:rsidR="00C26C16">
        <w:rPr>
          <w:rFonts w:ascii="David" w:hAnsi="David"/>
          <w:rtl/>
        </w:rPr>
        <w:t xml:space="preserve"> דמי שכירות בסך של 2,200 ₪, ועד בית 70 ₪, ארנונה 250 ₪, חשמל, גז, ואינטרנט 350 ₪, תרופות 130 ₪, כלכלה 1,200 ₪, מזונות 2,759 ₪</w:t>
      </w:r>
      <w:r w:rsidR="00C26C16">
        <w:rPr>
          <w:rFonts w:ascii="David" w:hAnsi="David" w:hint="cs"/>
          <w:rtl/>
        </w:rPr>
        <w:t xml:space="preserve"> ו</w:t>
      </w:r>
      <w:r w:rsidR="00C26C16">
        <w:rPr>
          <w:rFonts w:ascii="David" w:hAnsi="David"/>
          <w:rtl/>
        </w:rPr>
        <w:t xml:space="preserve">פיגורים בתיק מזונות במל"ל 300 ₪. לגרסתו, </w:t>
      </w:r>
      <w:r w:rsidR="00C26C16">
        <w:rPr>
          <w:rFonts w:ascii="David" w:hAnsi="David" w:hint="cs"/>
          <w:rtl/>
        </w:rPr>
        <w:t xml:space="preserve">הוא </w:t>
      </w:r>
      <w:r w:rsidR="00C26C16">
        <w:rPr>
          <w:rFonts w:ascii="David" w:hAnsi="David"/>
          <w:rtl/>
        </w:rPr>
        <w:t>מתנהל באמצעות חשבון בבנק הדואר בלבד ללא כרטיס אשראי, וחובו בתיק מזונות בהוצל"פ מסתכם בסך של 59,303 ₪.</w:t>
      </w:r>
    </w:p>
    <w:p w:rsidR="00C26C16" w:rsidRDefault="00C26C16" w:rsidP="00C26C16">
      <w:pPr>
        <w:spacing w:before="120" w:line="360" w:lineRule="auto"/>
        <w:ind w:left="1503" w:hanging="851"/>
        <w:jc w:val="both"/>
        <w:rPr>
          <w:rFonts w:ascii="David" w:hAnsi="David"/>
          <w:rtl/>
        </w:rPr>
      </w:pPr>
      <w:r>
        <w:rPr>
          <w:rFonts w:ascii="David" w:hAnsi="David" w:hint="cs"/>
          <w:rtl/>
        </w:rPr>
        <w:lastRenderedPageBreak/>
        <w:t>ד.</w:t>
      </w:r>
      <w:r>
        <w:rPr>
          <w:rFonts w:ascii="David" w:hAnsi="David" w:hint="cs"/>
          <w:rtl/>
        </w:rPr>
        <w:tab/>
      </w:r>
      <w:r>
        <w:rPr>
          <w:rFonts w:ascii="David" w:hAnsi="David"/>
          <w:rtl/>
        </w:rPr>
        <w:t xml:space="preserve">עוד גרס המבקש </w:t>
      </w:r>
      <w:r>
        <w:rPr>
          <w:rFonts w:ascii="David" w:hAnsi="David" w:hint="cs"/>
          <w:rtl/>
        </w:rPr>
        <w:t xml:space="preserve">כי </w:t>
      </w:r>
      <w:r>
        <w:rPr>
          <w:rFonts w:ascii="David" w:hAnsi="David"/>
          <w:rtl/>
        </w:rPr>
        <w:t xml:space="preserve">חל שינוי נסיבות מהותי בהכנסת המשיבה שגדלה בצורה משמעותית, שעה שעובדת </w:t>
      </w:r>
      <w:r>
        <w:rPr>
          <w:rFonts w:ascii="David" w:hAnsi="David" w:hint="cs"/>
          <w:rtl/>
        </w:rPr>
        <w:t>במשרה קבועה</w:t>
      </w:r>
      <w:r>
        <w:rPr>
          <w:rFonts w:ascii="David" w:hAnsi="David"/>
          <w:rtl/>
        </w:rPr>
        <w:t xml:space="preserve"> ו</w:t>
      </w:r>
      <w:r>
        <w:rPr>
          <w:rFonts w:ascii="David" w:hAnsi="David" w:hint="cs"/>
          <w:rtl/>
        </w:rPr>
        <w:t xml:space="preserve">כן </w:t>
      </w:r>
      <w:r>
        <w:rPr>
          <w:rFonts w:ascii="David" w:hAnsi="David"/>
          <w:rtl/>
        </w:rPr>
        <w:t xml:space="preserve">במקום עבודה נוסף. </w:t>
      </w:r>
    </w:p>
    <w:p w:rsidR="00C26C16" w:rsidRDefault="00C26C16" w:rsidP="00C26C16">
      <w:pPr>
        <w:spacing w:before="120" w:line="360" w:lineRule="auto"/>
        <w:ind w:left="1503" w:hanging="851"/>
        <w:jc w:val="both"/>
        <w:rPr>
          <w:rFonts w:ascii="David" w:hAnsi="David"/>
          <w:rtl/>
        </w:rPr>
      </w:pPr>
      <w:r>
        <w:rPr>
          <w:rFonts w:ascii="David" w:hAnsi="David" w:hint="cs"/>
          <w:rtl/>
        </w:rPr>
        <w:t>ה.</w:t>
      </w:r>
      <w:r>
        <w:rPr>
          <w:rFonts w:ascii="David" w:hAnsi="David" w:hint="cs"/>
          <w:rtl/>
        </w:rPr>
        <w:tab/>
      </w:r>
      <w:r>
        <w:rPr>
          <w:rFonts w:ascii="David" w:hAnsi="David"/>
          <w:rtl/>
        </w:rPr>
        <w:t>לעניין זמני השהות עם הקטין טען</w:t>
      </w:r>
      <w:r>
        <w:rPr>
          <w:rFonts w:ascii="David" w:hAnsi="David" w:hint="cs"/>
          <w:rtl/>
        </w:rPr>
        <w:t>,</w:t>
      </w:r>
      <w:r>
        <w:rPr>
          <w:rFonts w:ascii="David" w:hAnsi="David"/>
          <w:rtl/>
        </w:rPr>
        <w:t xml:space="preserve"> שמזה מס</w:t>
      </w:r>
      <w:r>
        <w:rPr>
          <w:rFonts w:ascii="David" w:hAnsi="David" w:hint="cs"/>
          <w:rtl/>
        </w:rPr>
        <w:t>פר</w:t>
      </w:r>
      <w:r>
        <w:rPr>
          <w:rFonts w:ascii="David" w:hAnsi="David"/>
          <w:rtl/>
        </w:rPr>
        <w:t xml:space="preserve"> חודשים נפגש עם בנו באופן ספונטני מס</w:t>
      </w:r>
      <w:r>
        <w:rPr>
          <w:rFonts w:ascii="David" w:hAnsi="David" w:hint="cs"/>
          <w:rtl/>
        </w:rPr>
        <w:t>פר</w:t>
      </w:r>
      <w:r>
        <w:rPr>
          <w:rFonts w:ascii="David" w:hAnsi="David"/>
          <w:rtl/>
        </w:rPr>
        <w:t xml:space="preserve"> מפגשים בהם אכלו ובילו י</w:t>
      </w:r>
      <w:r>
        <w:rPr>
          <w:rFonts w:ascii="David" w:hAnsi="David" w:hint="cs"/>
          <w:rtl/>
        </w:rPr>
        <w:t xml:space="preserve">חד. ברם </w:t>
      </w:r>
      <w:r>
        <w:rPr>
          <w:rFonts w:ascii="David" w:hAnsi="David"/>
          <w:rtl/>
        </w:rPr>
        <w:t xml:space="preserve">מרגע שנודע </w:t>
      </w:r>
      <w:r>
        <w:rPr>
          <w:rFonts w:ascii="David" w:hAnsi="David" w:hint="cs"/>
          <w:rtl/>
        </w:rPr>
        <w:t xml:space="preserve">הדבר </w:t>
      </w:r>
      <w:r>
        <w:rPr>
          <w:rFonts w:ascii="David" w:hAnsi="David"/>
          <w:rtl/>
        </w:rPr>
        <w:t>לאם</w:t>
      </w:r>
      <w:r>
        <w:rPr>
          <w:rFonts w:ascii="David" w:hAnsi="David" w:hint="cs"/>
          <w:rtl/>
        </w:rPr>
        <w:t xml:space="preserve"> </w:t>
      </w:r>
      <w:r w:rsidRPr="00D87140">
        <w:rPr>
          <w:rFonts w:ascii="David" w:hAnsi="David" w:hint="cs"/>
          <w:rtl/>
        </w:rPr>
        <w:t>(המשיבה)</w:t>
      </w:r>
      <w:r w:rsidRPr="00D87140">
        <w:rPr>
          <w:rFonts w:ascii="David" w:hAnsi="David"/>
          <w:rtl/>
        </w:rPr>
        <w:t>,</w:t>
      </w:r>
      <w:r>
        <w:rPr>
          <w:rFonts w:ascii="David" w:hAnsi="David"/>
          <w:rtl/>
        </w:rPr>
        <w:t xml:space="preserve"> זו איימה עליו ועל הבן </w:t>
      </w:r>
      <w:r w:rsidRPr="00E744D7">
        <w:rPr>
          <w:rFonts w:ascii="David" w:hAnsi="David"/>
          <w:rtl/>
        </w:rPr>
        <w:t>והפסיקה את המפגשים.</w:t>
      </w:r>
    </w:p>
    <w:p w:rsidR="00C26C16" w:rsidRDefault="00C26C16" w:rsidP="00C26C16">
      <w:pPr>
        <w:spacing w:before="120" w:line="360" w:lineRule="auto"/>
        <w:ind w:left="1503" w:hanging="851"/>
        <w:jc w:val="both"/>
        <w:rPr>
          <w:rFonts w:ascii="David" w:hAnsi="David"/>
          <w:rtl/>
        </w:rPr>
      </w:pPr>
      <w:r>
        <w:rPr>
          <w:rFonts w:ascii="David" w:hAnsi="David" w:hint="cs"/>
          <w:rtl/>
        </w:rPr>
        <w:t>ו.</w:t>
      </w:r>
      <w:r>
        <w:rPr>
          <w:rFonts w:ascii="David" w:hAnsi="David" w:hint="cs"/>
          <w:rtl/>
        </w:rPr>
        <w:tab/>
      </w:r>
      <w:r w:rsidRPr="00E744D7">
        <w:rPr>
          <w:rFonts w:ascii="David" w:hAnsi="David"/>
          <w:rtl/>
        </w:rPr>
        <w:t>מכל האמור, עתר</w:t>
      </w:r>
      <w:r>
        <w:rPr>
          <w:rFonts w:ascii="David" w:hAnsi="David" w:hint="cs"/>
          <w:rtl/>
        </w:rPr>
        <w:t xml:space="preserve"> המבקש</w:t>
      </w:r>
      <w:r w:rsidRPr="00E744D7">
        <w:rPr>
          <w:rFonts w:ascii="David" w:hAnsi="David"/>
          <w:rtl/>
        </w:rPr>
        <w:t xml:space="preserve"> להורות על הפחתת תשלום המזונות לסך של 1,000 ₪ לחודש, </w:t>
      </w:r>
      <w:r w:rsidRPr="00E744D7">
        <w:rPr>
          <w:rFonts w:ascii="David" w:hAnsi="David" w:hint="cs"/>
          <w:rtl/>
        </w:rPr>
        <w:t>באופן זמני עד למתן פסק דין בתובענה קמא.</w:t>
      </w:r>
    </w:p>
    <w:p w:rsidR="00C26C16" w:rsidRDefault="00C26C16" w:rsidP="00C26C16">
      <w:pPr>
        <w:spacing w:before="120" w:line="360" w:lineRule="auto"/>
        <w:ind w:left="720" w:hanging="720"/>
        <w:jc w:val="both"/>
        <w:rPr>
          <w:rFonts w:ascii="David" w:hAnsi="David"/>
          <w:rtl/>
        </w:rPr>
      </w:pPr>
      <w:r>
        <w:rPr>
          <w:rFonts w:ascii="David" w:hAnsi="David" w:hint="cs"/>
          <w:rtl/>
        </w:rPr>
        <w:t>11.</w:t>
      </w:r>
      <w:r>
        <w:rPr>
          <w:rFonts w:ascii="David" w:hAnsi="David" w:hint="cs"/>
          <w:rtl/>
        </w:rPr>
        <w:tab/>
      </w:r>
      <w:r w:rsidRPr="00AF2B27">
        <w:rPr>
          <w:rFonts w:ascii="David" w:hAnsi="David"/>
          <w:b/>
          <w:bCs/>
          <w:u w:val="single"/>
          <w:rtl/>
        </w:rPr>
        <w:t>לטענת המשיבה</w:t>
      </w:r>
      <w:r w:rsidRPr="00AF2B27">
        <w:rPr>
          <w:rFonts w:ascii="David" w:hAnsi="David"/>
          <w:u w:val="single"/>
          <w:rtl/>
        </w:rPr>
        <w:t xml:space="preserve"> </w:t>
      </w:r>
      <w:r w:rsidRPr="00AF2B27">
        <w:rPr>
          <w:rFonts w:ascii="David" w:hAnsi="David" w:hint="cs"/>
          <w:b/>
          <w:bCs/>
          <w:u w:val="single"/>
          <w:rtl/>
        </w:rPr>
        <w:t>בתשובתה</w:t>
      </w:r>
      <w:r>
        <w:rPr>
          <w:rFonts w:ascii="David" w:hAnsi="David" w:hint="cs"/>
          <w:b/>
          <w:bCs/>
          <w:u w:val="single"/>
          <w:rtl/>
        </w:rPr>
        <w:t xml:space="preserve"> בבית משפט קמא</w:t>
      </w:r>
      <w:r w:rsidRPr="003976BD">
        <w:rPr>
          <w:rFonts w:ascii="David" w:hAnsi="David" w:hint="cs"/>
          <w:b/>
          <w:bCs/>
          <w:u w:val="single"/>
          <w:rtl/>
        </w:rPr>
        <w:t xml:space="preserve">, </w:t>
      </w:r>
      <w:r w:rsidRPr="003976BD">
        <w:rPr>
          <w:rFonts w:ascii="David" w:hAnsi="David"/>
          <w:b/>
          <w:bCs/>
          <w:u w:val="single"/>
          <w:rtl/>
        </w:rPr>
        <w:t xml:space="preserve">יש לדחות את הבקשה </w:t>
      </w:r>
      <w:r w:rsidRPr="003976BD">
        <w:rPr>
          <w:rFonts w:ascii="David" w:hAnsi="David" w:hint="cs"/>
          <w:b/>
          <w:bCs/>
          <w:u w:val="single"/>
          <w:rtl/>
        </w:rPr>
        <w:t>מהטעמים הבאים</w:t>
      </w:r>
      <w:r>
        <w:rPr>
          <w:rFonts w:ascii="David" w:hAnsi="David" w:hint="cs"/>
          <w:rtl/>
        </w:rPr>
        <w:t>:</w:t>
      </w:r>
    </w:p>
    <w:p w:rsidR="00C26C16" w:rsidRDefault="00C26C16" w:rsidP="00C26C16">
      <w:pPr>
        <w:spacing w:before="120" w:line="360" w:lineRule="auto"/>
        <w:ind w:left="1503" w:hanging="851"/>
        <w:jc w:val="both"/>
        <w:rPr>
          <w:rFonts w:ascii="David" w:hAnsi="David"/>
          <w:rtl/>
        </w:rPr>
      </w:pPr>
      <w:r>
        <w:rPr>
          <w:rFonts w:ascii="David" w:hAnsi="David" w:hint="cs"/>
          <w:rtl/>
        </w:rPr>
        <w:t>א.</w:t>
      </w:r>
      <w:r>
        <w:rPr>
          <w:rFonts w:ascii="David" w:hAnsi="David" w:hint="cs"/>
          <w:rtl/>
        </w:rPr>
        <w:tab/>
        <w:t xml:space="preserve">לא חל </w:t>
      </w:r>
      <w:r>
        <w:rPr>
          <w:rFonts w:ascii="David" w:hAnsi="David"/>
          <w:rtl/>
        </w:rPr>
        <w:t>שינוי נסיבות; לדבריה, בניגוד לטענת המבקש, אין בעצם קביעת שיעורי הנכות כדי להצביע על עילה להפחתת המזונות</w:t>
      </w:r>
      <w:r>
        <w:rPr>
          <w:rFonts w:ascii="David" w:hAnsi="David" w:hint="cs"/>
          <w:rtl/>
        </w:rPr>
        <w:t xml:space="preserve">. </w:t>
      </w:r>
      <w:r>
        <w:rPr>
          <w:rFonts w:ascii="David" w:hAnsi="David"/>
          <w:rtl/>
        </w:rPr>
        <w:t>לא הוכח כל שינוי במצבו הכלכלי ממועד פס</w:t>
      </w:r>
      <w:r>
        <w:rPr>
          <w:rFonts w:ascii="David" w:hAnsi="David" w:hint="cs"/>
          <w:rtl/>
        </w:rPr>
        <w:t xml:space="preserve">ק הדין </w:t>
      </w:r>
      <w:r>
        <w:rPr>
          <w:rFonts w:ascii="David" w:hAnsi="David"/>
          <w:rtl/>
        </w:rPr>
        <w:t>ביום 3.4.14</w:t>
      </w:r>
      <w:r>
        <w:rPr>
          <w:rFonts w:ascii="David" w:hAnsi="David" w:hint="cs"/>
          <w:rtl/>
        </w:rPr>
        <w:t xml:space="preserve">, </w:t>
      </w:r>
      <w:r>
        <w:rPr>
          <w:rFonts w:ascii="David" w:hAnsi="David"/>
          <w:rtl/>
        </w:rPr>
        <w:t xml:space="preserve">עת לא צירף אישורי הכנסות ותלושי שכר משנת 2014, שכן מפירוט מעסיקים שצירף עולה שעבד בשנים 2014-2015. </w:t>
      </w:r>
    </w:p>
    <w:p w:rsidR="00C26C16" w:rsidRDefault="00C26C16" w:rsidP="00C26C16">
      <w:pPr>
        <w:spacing w:before="120" w:line="360" w:lineRule="auto"/>
        <w:ind w:left="1503" w:hanging="851"/>
        <w:jc w:val="both"/>
        <w:rPr>
          <w:rFonts w:ascii="David" w:hAnsi="David"/>
          <w:rtl/>
        </w:rPr>
      </w:pPr>
      <w:r>
        <w:rPr>
          <w:rFonts w:ascii="David" w:hAnsi="David"/>
          <w:rtl/>
        </w:rPr>
        <w:tab/>
        <w:t xml:space="preserve">יתרה מזאת, בסיכום הוועדה רפואית של המל"ל מחודש 1/23 נקבע, בין היתר, שהמבקש "יכול לחזור לעבודה קודמת ויכול לעבוד במשרה חלקית" (עמ' 78 לנספחי כתב התביעה). </w:t>
      </w:r>
    </w:p>
    <w:p w:rsidR="00C26C16" w:rsidRDefault="003976BD" w:rsidP="00C26C16">
      <w:pPr>
        <w:spacing w:before="120" w:line="360" w:lineRule="auto"/>
        <w:ind w:left="1503" w:hanging="63"/>
        <w:jc w:val="both"/>
        <w:rPr>
          <w:rFonts w:ascii="David" w:hAnsi="David"/>
          <w:rtl/>
        </w:rPr>
      </w:pPr>
      <w:r>
        <w:rPr>
          <w:rFonts w:ascii="David" w:hAnsi="David"/>
          <w:rtl/>
        </w:rPr>
        <w:tab/>
      </w:r>
      <w:r w:rsidR="00C26C16">
        <w:rPr>
          <w:rFonts w:ascii="David" w:hAnsi="David"/>
          <w:rtl/>
        </w:rPr>
        <w:t>כך גם המבקש מיוצג באופן פרטי דבר המעיד על יכולותיו הכלכליות.</w:t>
      </w:r>
    </w:p>
    <w:p w:rsidR="00C26C16" w:rsidRDefault="00C26C16" w:rsidP="00C26C16">
      <w:pPr>
        <w:spacing w:before="120" w:after="120" w:line="360" w:lineRule="auto"/>
        <w:ind w:left="1503" w:hanging="851"/>
        <w:jc w:val="both"/>
        <w:rPr>
          <w:rFonts w:ascii="David" w:hAnsi="David"/>
          <w:rtl/>
        </w:rPr>
      </w:pPr>
      <w:r>
        <w:rPr>
          <w:rFonts w:ascii="David" w:hAnsi="David" w:hint="cs"/>
          <w:rtl/>
        </w:rPr>
        <w:t>ב.</w:t>
      </w:r>
      <w:r>
        <w:rPr>
          <w:rFonts w:ascii="David" w:hAnsi="David" w:hint="cs"/>
          <w:rtl/>
        </w:rPr>
        <w:tab/>
        <w:t>ל</w:t>
      </w:r>
      <w:r>
        <w:rPr>
          <w:rFonts w:ascii="David" w:hAnsi="David"/>
          <w:rtl/>
        </w:rPr>
        <w:t xml:space="preserve">א חל כל שינוי בזמני שהות בין המבקש לקטין; דמי המזונות בפסה"ד מיום 3.4.14 נפסקו בין היתר על העובדה שבין המבקש לקטין אין כל קשר ולא מתקיימים זמני שהות. לאורך השנים ניתנו למבקש הזדמנויות רבות ונעשו ניסיונות רבים לבנות קשר עם הקטין, אך המבקש לא התמיד וגרם לקטין תחושת דחייה וחוסר אכפתיות. רק לקראת הגשת התביעה עסקינן, המבקש החל לפנות לקטין מאחורי גבה וגרם לו לבלבול, חרדה ולחץ נפשי ורגשי. </w:t>
      </w:r>
    </w:p>
    <w:p w:rsidR="00C26C16" w:rsidRDefault="00C26C16" w:rsidP="003976BD">
      <w:pPr>
        <w:spacing w:after="120" w:line="360" w:lineRule="auto"/>
        <w:ind w:left="1503" w:hanging="851"/>
        <w:jc w:val="both"/>
        <w:rPr>
          <w:rFonts w:ascii="David" w:hAnsi="David"/>
        </w:rPr>
      </w:pPr>
      <w:r>
        <w:rPr>
          <w:rFonts w:ascii="David" w:hAnsi="David" w:hint="cs"/>
          <w:rtl/>
        </w:rPr>
        <w:t>ג.</w:t>
      </w:r>
      <w:r>
        <w:rPr>
          <w:rFonts w:ascii="David" w:hAnsi="David" w:hint="cs"/>
          <w:rtl/>
        </w:rPr>
        <w:tab/>
        <w:t>ה</w:t>
      </w:r>
      <w:r>
        <w:rPr>
          <w:rFonts w:ascii="David" w:hAnsi="David"/>
          <w:rtl/>
        </w:rPr>
        <w:t>מבקש פונה בבקשה זו באי ניקיון כפיים ובחוסר תום לב מובהק שעה שממועד מתן פסק הדין מיום 3.4.14, כעשור, לא שילם את מזונות הקטין ולא קיים עמו קשר. בשל כך, עוד בשנת 2012 פתחה כנגדו בהליכי גבייה בהוצל"פ (תיק מס</w:t>
      </w:r>
      <w:r>
        <w:rPr>
          <w:rFonts w:ascii="David" w:hAnsi="David" w:hint="cs"/>
          <w:rtl/>
        </w:rPr>
        <w:t>פר</w:t>
      </w:r>
      <w:r>
        <w:rPr>
          <w:rFonts w:ascii="David" w:hAnsi="David"/>
          <w:rtl/>
        </w:rPr>
        <w:t xml:space="preserve"> </w:t>
      </w:r>
      <w:r w:rsidR="003976BD">
        <w:rPr>
          <w:rFonts w:ascii="David" w:hAnsi="David" w:hint="cs"/>
          <w:rtl/>
        </w:rPr>
        <w:t>....</w:t>
      </w:r>
      <w:r>
        <w:rPr>
          <w:rFonts w:ascii="David" w:hAnsi="David"/>
          <w:rtl/>
        </w:rPr>
        <w:t>) ושם נקטה בהליכי עיקול קצבאות הנכות מהמל"ל להן זכאי. מלבד זאת, למבקש חוב נוסף בגין מזונות הקטין כלפי המל"ל שיתרתו ע"ס 56,592 ₪.</w:t>
      </w:r>
    </w:p>
    <w:p w:rsidR="00C26C16" w:rsidRPr="00BE180A" w:rsidRDefault="00C26C16" w:rsidP="00C26C16">
      <w:pPr>
        <w:spacing w:after="120"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Pr="00BE180A">
        <w:rPr>
          <w:rFonts w:ascii="Arial" w:hAnsi="Arial" w:hint="cs"/>
          <w:noProof w:val="0"/>
          <w:u w:val="single"/>
          <w:rtl/>
        </w:rPr>
        <w:t>ביום 9.9.23 ניתנה ההחלטה קמא, הדוחה את בקשת המבקש. להלן עיקריה</w:t>
      </w:r>
      <w:r>
        <w:rPr>
          <w:rFonts w:ascii="Arial" w:hAnsi="Arial" w:hint="cs"/>
          <w:noProof w:val="0"/>
          <w:rtl/>
        </w:rPr>
        <w:t>:</w:t>
      </w:r>
    </w:p>
    <w:p w:rsidR="00C26C16" w:rsidRPr="00BE180A" w:rsidRDefault="00C26C16" w:rsidP="00C26C16">
      <w:pPr>
        <w:spacing w:after="120" w:line="360" w:lineRule="auto"/>
        <w:ind w:left="1247" w:right="510" w:hanging="624"/>
        <w:jc w:val="both"/>
        <w:rPr>
          <w:rFonts w:ascii="Arial" w:hAnsi="Arial"/>
          <w:b/>
          <w:bCs/>
          <w:noProof w:val="0"/>
          <w:rtl/>
        </w:rPr>
      </w:pPr>
      <w:r>
        <w:rPr>
          <w:rFonts w:ascii="Arial" w:hAnsi="Arial" w:hint="cs"/>
          <w:b/>
          <w:bCs/>
          <w:noProof w:val="0"/>
          <w:rtl/>
        </w:rPr>
        <w:t>"</w:t>
      </w:r>
      <w:r w:rsidRPr="00BE180A">
        <w:rPr>
          <w:rFonts w:ascii="Arial" w:hAnsi="Arial"/>
          <w:b/>
          <w:bCs/>
          <w:noProof w:val="0"/>
          <w:rtl/>
        </w:rPr>
        <w:t>18</w:t>
      </w:r>
      <w:r w:rsidRPr="00BE180A">
        <w:rPr>
          <w:rFonts w:ascii="David" w:hAnsi="David"/>
          <w:b/>
          <w:bCs/>
          <w:rtl/>
        </w:rPr>
        <w:t>.</w:t>
      </w:r>
      <w:r w:rsidRPr="00BE180A">
        <w:rPr>
          <w:rFonts w:ascii="David" w:hAnsi="David"/>
          <w:b/>
          <w:bCs/>
          <w:rtl/>
        </w:rPr>
        <w:tab/>
        <w:t>בענייננו, תקנה 95 (ד) (3) לתקנ</w:t>
      </w:r>
      <w:r>
        <w:rPr>
          <w:rFonts w:ascii="David" w:hAnsi="David"/>
          <w:b/>
          <w:bCs/>
          <w:rtl/>
        </w:rPr>
        <w:t>ות סדר הדין האזרחי, תשע"ט -2018</w:t>
      </w:r>
      <w:r>
        <w:rPr>
          <w:rFonts w:ascii="David" w:hAnsi="David" w:hint="cs"/>
          <w:b/>
          <w:bCs/>
          <w:rtl/>
        </w:rPr>
        <w:t xml:space="preserve"> </w:t>
      </w:r>
      <w:r w:rsidRPr="00BE180A">
        <w:rPr>
          <w:rFonts w:ascii="David" w:hAnsi="David"/>
          <w:b/>
          <w:bCs/>
          <w:rtl/>
        </w:rPr>
        <w:t xml:space="preserve">קובעת שבבואו של בית המשפט לדון בבקשה לסעד זמני, ישקול בין היתר את תום לבם של בעלי הדין הן בקשר לגוף העניין והן בקשר להגשת התביעה ובקשת הסעד הזמני. </w:t>
      </w:r>
    </w:p>
    <w:p w:rsidR="00C26C16" w:rsidRDefault="00C26C16" w:rsidP="00C26C16">
      <w:pPr>
        <w:spacing w:after="120" w:line="360" w:lineRule="auto"/>
        <w:ind w:left="1247" w:right="510" w:hanging="720"/>
        <w:jc w:val="both"/>
        <w:rPr>
          <w:rFonts w:ascii="Arial" w:hAnsi="Arial"/>
          <w:noProof w:val="0"/>
          <w:rtl/>
        </w:rPr>
      </w:pPr>
      <w:r w:rsidRPr="00BE180A">
        <w:rPr>
          <w:rFonts w:ascii="Arial" w:hAnsi="Arial"/>
          <w:b/>
          <w:bCs/>
          <w:noProof w:val="0"/>
          <w:rtl/>
        </w:rPr>
        <w:tab/>
      </w:r>
      <w:r w:rsidRPr="00BE180A">
        <w:rPr>
          <w:rFonts w:ascii="Arial" w:hAnsi="Arial" w:hint="cs"/>
          <w:b/>
          <w:bCs/>
          <w:noProof w:val="0"/>
          <w:rtl/>
        </w:rPr>
        <w:t>...</w:t>
      </w:r>
    </w:p>
    <w:p w:rsidR="00C26C16" w:rsidRPr="00BE180A" w:rsidRDefault="00C26C16" w:rsidP="00C26C16">
      <w:pPr>
        <w:spacing w:after="120" w:line="360" w:lineRule="auto"/>
        <w:ind w:left="1247" w:right="510" w:hanging="624"/>
        <w:jc w:val="both"/>
        <w:rPr>
          <w:rFonts w:ascii="David" w:hAnsi="David"/>
          <w:b/>
          <w:bCs/>
          <w:rtl/>
        </w:rPr>
      </w:pPr>
      <w:r>
        <w:rPr>
          <w:rFonts w:ascii="David" w:hAnsi="David" w:hint="cs"/>
          <w:b/>
          <w:bCs/>
          <w:rtl/>
        </w:rPr>
        <w:lastRenderedPageBreak/>
        <w:t>20.</w:t>
      </w:r>
      <w:r>
        <w:rPr>
          <w:rFonts w:ascii="David" w:hAnsi="David" w:hint="cs"/>
          <w:b/>
          <w:bCs/>
          <w:rtl/>
        </w:rPr>
        <w:tab/>
        <w:t xml:space="preserve"> </w:t>
      </w:r>
      <w:r w:rsidRPr="00BE180A">
        <w:rPr>
          <w:rFonts w:ascii="David" w:hAnsi="David"/>
          <w:b/>
          <w:bCs/>
          <w:rtl/>
        </w:rPr>
        <w:t xml:space="preserve">את תום הלב לעניין בקשה זמנית להפחתת מזונות יש לפרש, בין היתר, </w:t>
      </w:r>
      <w:r w:rsidRPr="00BE180A">
        <w:rPr>
          <w:rFonts w:ascii="David" w:hAnsi="David"/>
          <w:b/>
          <w:bCs/>
          <w:u w:val="single"/>
          <w:rtl/>
        </w:rPr>
        <w:t>בתשלום דמי המזונות בהתאם לסכום שהמבקש סבור שעליו לשלם</w:t>
      </w:r>
      <w:r w:rsidRPr="00AF2B27">
        <w:rPr>
          <w:rFonts w:ascii="David" w:hAnsi="David"/>
          <w:b/>
          <w:bCs/>
          <w:rtl/>
        </w:rPr>
        <w:t>. בענייננו</w:t>
      </w:r>
      <w:r w:rsidRPr="00BE180A">
        <w:rPr>
          <w:rFonts w:ascii="David" w:hAnsi="David"/>
          <w:b/>
          <w:bCs/>
          <w:rtl/>
        </w:rPr>
        <w:t xml:space="preserve"> עותר המבקש להפחתת סכום המזונות לסך של 1,000 ₪ בחודש. אולם, כעולה מתגובת המשיבה, הוא אינו משלם את תשלום מזונות הקטין כסדרו ואף לא חלקו, עת משנת 2012 מתנהל כנגדו תיק בהוצל"פ לגביית מזונות, כמו גם נאלצה לפנות למל"ל לגביית פס"ד, וגם שם צבר חוב  בסך 56,592 ₪. בנסיבות אלה, התרשמתי שהבקשה הוגשה בחוסר תום לב שכן שומה על המבקש, למצער לשלם באופן סדיר את דמי המזונות להם עותר ובכלל זה תשלום מחציות והוצאותיו החריגות של הקטין וכן לפעול לתשלום חוב העבר בדמי המזונות. משלא עושה כן, משך למעלה מעשור מהלכו האם היא זו שמכלכלת את הקטין ודואגת לצרכיו, מצאתי שבטרם אדרש לבקשה לגופה על המבקש לעמוד בהתחייבויותיו ובהחלטות בית המשפט ולהוכיח שפועל בתום לב, ועושה כל שאל ידו על מנת לעמוד בחובתו לזון את הקטין. עובדה זו מקבלת משנה תוקף עת כעולה מכתבי הטענות בין המשיב לבין הקטין לא מתקיים קשר, זולת מספר מפגשים בודדים לאחרונה, ואשר גם עליהם חלוקים הצדדים.</w:t>
      </w:r>
    </w:p>
    <w:p w:rsidR="00C26C16" w:rsidRPr="00BE180A" w:rsidRDefault="00C26C16" w:rsidP="00C26C16">
      <w:pPr>
        <w:spacing w:after="120" w:line="360" w:lineRule="auto"/>
        <w:ind w:left="1247" w:right="510" w:hanging="708"/>
        <w:jc w:val="both"/>
        <w:rPr>
          <w:rFonts w:ascii="David" w:hAnsi="David"/>
          <w:b/>
          <w:bCs/>
          <w:rtl/>
        </w:rPr>
      </w:pPr>
      <w:r>
        <w:rPr>
          <w:rFonts w:ascii="David" w:hAnsi="David"/>
          <w:b/>
          <w:bCs/>
        </w:rPr>
        <w:t>.21</w:t>
      </w:r>
      <w:r>
        <w:rPr>
          <w:rFonts w:ascii="David" w:hAnsi="David"/>
          <w:b/>
          <w:bCs/>
        </w:rPr>
        <w:tab/>
      </w:r>
      <w:r w:rsidRPr="00BE180A">
        <w:rPr>
          <w:rFonts w:ascii="David" w:hAnsi="David"/>
          <w:b/>
          <w:bCs/>
          <w:rtl/>
        </w:rPr>
        <w:t xml:space="preserve">מבלי לפגוע באמור אציין שמעיון בבקשה לא מצאתי שעלה בידי המבקש להציג שינוי נסיבות מהותי, כנדרש; הבקשה הוגשה בחסר פירוט עובדתי באופן בו המבקש לא הציג באופן גלוי את כל הקשור במצבו הכלכלי והכנסתו בפרט; אמנם בשנת 2014 היה זכאי לקצבת נכות ע"ס 2,530 ₪ ואילו כיום זכאי לקצבת נכות בסך 2,893 ₪. אולם עדיין, המבקש לא צירף תלושי שכר או אישורים להכנסותיו מעבודתו בשנים 2013-2014 ועבודתו במועד הגשת הבקשה, עת טען כי משתכר בסך 1,500 ₪ בחודש.  </w:t>
      </w:r>
    </w:p>
    <w:p w:rsidR="00C26C16" w:rsidRPr="00BE180A" w:rsidRDefault="00C26C16" w:rsidP="00C26C16">
      <w:pPr>
        <w:spacing w:after="120" w:line="360" w:lineRule="auto"/>
        <w:ind w:left="1247" w:right="510" w:hanging="850"/>
        <w:jc w:val="both"/>
        <w:rPr>
          <w:rFonts w:ascii="David" w:hAnsi="David"/>
          <w:b/>
          <w:bCs/>
        </w:rPr>
      </w:pPr>
      <w:r>
        <w:rPr>
          <w:rFonts w:ascii="David" w:hAnsi="David" w:hint="cs"/>
          <w:b/>
          <w:bCs/>
          <w:rtl/>
        </w:rPr>
        <w:t>22.</w:t>
      </w:r>
      <w:r>
        <w:rPr>
          <w:rFonts w:ascii="David" w:hAnsi="David" w:hint="cs"/>
          <w:b/>
          <w:bCs/>
          <w:rtl/>
        </w:rPr>
        <w:tab/>
      </w:r>
      <w:r w:rsidRPr="00BE180A">
        <w:rPr>
          <w:rFonts w:ascii="David" w:hAnsi="David"/>
          <w:b/>
          <w:bCs/>
          <w:rtl/>
        </w:rPr>
        <w:t>מכל האמור ולצורך המשך דיון בתובענה לגופה, ולאור הפסיקה כאמור לעיל, הנני מורה כדלקמן</w:t>
      </w:r>
      <w:r w:rsidRPr="00BE180A">
        <w:rPr>
          <w:rFonts w:ascii="David" w:hAnsi="David"/>
          <w:b/>
          <w:bCs/>
        </w:rPr>
        <w:t>:</w:t>
      </w:r>
    </w:p>
    <w:p w:rsidR="00C26C16" w:rsidRPr="00BE180A" w:rsidRDefault="00C26C16" w:rsidP="00C26C16">
      <w:pPr>
        <w:pStyle w:val="ad"/>
        <w:numPr>
          <w:ilvl w:val="0"/>
          <w:numId w:val="1"/>
        </w:numPr>
        <w:spacing w:after="120" w:line="360" w:lineRule="auto"/>
        <w:ind w:left="1247" w:right="510" w:hanging="850"/>
        <w:contextualSpacing w:val="0"/>
        <w:jc w:val="both"/>
        <w:rPr>
          <w:rFonts w:ascii="David" w:hAnsi="David"/>
          <w:b/>
          <w:bCs/>
        </w:rPr>
      </w:pPr>
      <w:r w:rsidRPr="00BE180A">
        <w:rPr>
          <w:rFonts w:ascii="David" w:hAnsi="David"/>
          <w:b/>
          <w:bCs/>
          <w:rtl/>
        </w:rPr>
        <w:t>הבקשה להפחתת דמי המזונות, נדחית.</w:t>
      </w:r>
    </w:p>
    <w:p w:rsidR="00C26C16" w:rsidRPr="00BE180A" w:rsidRDefault="00C26C16" w:rsidP="00C26C16">
      <w:pPr>
        <w:pStyle w:val="ad"/>
        <w:numPr>
          <w:ilvl w:val="0"/>
          <w:numId w:val="1"/>
        </w:numPr>
        <w:spacing w:after="120" w:line="360" w:lineRule="auto"/>
        <w:ind w:left="1247" w:right="510" w:hanging="850"/>
        <w:contextualSpacing w:val="0"/>
        <w:jc w:val="both"/>
        <w:rPr>
          <w:rFonts w:ascii="David" w:hAnsi="David"/>
          <w:b/>
          <w:bCs/>
        </w:rPr>
      </w:pPr>
      <w:r w:rsidRPr="00BE180A">
        <w:rPr>
          <w:rFonts w:ascii="David" w:hAnsi="David"/>
          <w:b/>
          <w:bCs/>
          <w:rtl/>
        </w:rPr>
        <w:t>על המבקש לשלם משך 6 חודשים מהיום, ברציפות, את דמי המזונות, ולמצער, בסכום המופחת לו טוען. הסכום ישולם ישירות לידי המשיבה, ללא כל קשר עם הסכומים המועברים לידיה מהליכי גבייה עבור חוב עבר. בתום התקופה, יגיש הודעה בצירוף הודעת תשלום. לא יעשה כן, יחשב כמי שחזר בו מתביעתו והיא תמחק.</w:t>
      </w:r>
    </w:p>
    <w:p w:rsidR="00C26C16" w:rsidRDefault="00C26C16" w:rsidP="00C26C16">
      <w:pPr>
        <w:pStyle w:val="ad"/>
        <w:numPr>
          <w:ilvl w:val="0"/>
          <w:numId w:val="1"/>
        </w:numPr>
        <w:spacing w:after="120" w:line="360" w:lineRule="auto"/>
        <w:ind w:left="1247" w:right="510" w:hanging="850"/>
        <w:contextualSpacing w:val="0"/>
        <w:jc w:val="both"/>
        <w:rPr>
          <w:rFonts w:ascii="David" w:hAnsi="David"/>
          <w:b/>
          <w:bCs/>
        </w:rPr>
      </w:pPr>
      <w:r w:rsidRPr="00BE180A">
        <w:rPr>
          <w:rFonts w:ascii="David" w:hAnsi="David"/>
          <w:b/>
          <w:bCs/>
          <w:rtl/>
        </w:rPr>
        <w:t>המבקש ייצא בהוצאות המשיבה בגין בקשה זו בסך 1,250 ₪ אשר ישולמו תוך 30 ימים מהיום וללא כל קשר עם תוצאות התביעה לגופה. ההוצאות ישולמו כקבוע בסעיף 6 ל</w:t>
      </w:r>
      <w:r>
        <w:rPr>
          <w:rFonts w:ascii="David" w:hAnsi="David"/>
          <w:b/>
          <w:bCs/>
          <w:rtl/>
        </w:rPr>
        <w:t>חוק  הסיוע המשפטי, תשל"ב- 1972</w:t>
      </w:r>
      <w:r>
        <w:rPr>
          <w:rFonts w:ascii="David" w:hAnsi="David"/>
          <w:b/>
          <w:bCs/>
        </w:rPr>
        <w:t>"</w:t>
      </w:r>
      <w:r>
        <w:rPr>
          <w:rFonts w:ascii="David" w:hAnsi="David" w:hint="cs"/>
          <w:b/>
          <w:bCs/>
          <w:rtl/>
        </w:rPr>
        <w:t>.</w:t>
      </w:r>
    </w:p>
    <w:p w:rsidR="00C26C16" w:rsidRDefault="00C26C16" w:rsidP="00C26C16">
      <w:pPr>
        <w:spacing w:after="120" w:line="360" w:lineRule="auto"/>
        <w:ind w:right="510"/>
        <w:jc w:val="both"/>
        <w:rPr>
          <w:rFonts w:ascii="David" w:hAnsi="David"/>
          <w:b/>
          <w:bCs/>
          <w:rtl/>
        </w:rPr>
      </w:pPr>
    </w:p>
    <w:p w:rsidR="00C26C16" w:rsidRDefault="00C26C16" w:rsidP="00C26C16">
      <w:pPr>
        <w:spacing w:after="120" w:line="360" w:lineRule="auto"/>
        <w:ind w:right="510"/>
        <w:jc w:val="both"/>
        <w:rPr>
          <w:rFonts w:ascii="David" w:hAnsi="David"/>
          <w:b/>
          <w:bCs/>
          <w:rtl/>
        </w:rPr>
      </w:pPr>
    </w:p>
    <w:p w:rsidR="00C26C16" w:rsidRPr="00626315" w:rsidRDefault="00C26C16" w:rsidP="00C26C16">
      <w:pPr>
        <w:spacing w:before="120" w:line="360" w:lineRule="auto"/>
        <w:jc w:val="both"/>
        <w:rPr>
          <w:rFonts w:ascii="Arial" w:hAnsi="Arial"/>
          <w:b/>
          <w:bCs/>
          <w:noProof w:val="0"/>
          <w:u w:val="single"/>
          <w:rtl/>
        </w:rPr>
      </w:pPr>
      <w:r w:rsidRPr="00626315">
        <w:rPr>
          <w:rFonts w:ascii="Arial" w:hAnsi="Arial" w:hint="cs"/>
          <w:b/>
          <w:bCs/>
          <w:noProof w:val="0"/>
          <w:u w:val="single"/>
          <w:rtl/>
        </w:rPr>
        <w:lastRenderedPageBreak/>
        <w:t>טענות המבקש בבקשת רשות הערעור</w:t>
      </w:r>
    </w:p>
    <w:p w:rsidR="00C26C16" w:rsidRDefault="00C26C16" w:rsidP="00C26C16">
      <w:pPr>
        <w:spacing w:before="120"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Pr="00A3513E">
        <w:rPr>
          <w:rFonts w:ascii="Arial" w:hAnsi="Arial" w:hint="cs"/>
          <w:noProof w:val="0"/>
          <w:u w:val="single"/>
          <w:rtl/>
        </w:rPr>
        <w:t>להלן תמצית טענות המבקש בבקשת רשות הערעור</w:t>
      </w:r>
      <w:r>
        <w:rPr>
          <w:rFonts w:ascii="Arial" w:hAnsi="Arial" w:hint="cs"/>
          <w:noProof w:val="0"/>
          <w:rtl/>
        </w:rPr>
        <w:t>:</w:t>
      </w:r>
    </w:p>
    <w:p w:rsidR="00C26C16" w:rsidRDefault="00C26C16" w:rsidP="00C26C16">
      <w:pPr>
        <w:spacing w:before="120" w:line="360" w:lineRule="auto"/>
        <w:ind w:left="1361" w:hanging="567"/>
        <w:jc w:val="both"/>
        <w:rPr>
          <w:rFonts w:ascii="Arial" w:hAnsi="Arial"/>
          <w:noProof w:val="0"/>
          <w:rtl/>
        </w:rPr>
      </w:pPr>
      <w:r>
        <w:rPr>
          <w:rFonts w:ascii="Arial" w:hAnsi="Arial" w:hint="cs"/>
          <w:noProof w:val="0"/>
          <w:rtl/>
        </w:rPr>
        <w:t>א.</w:t>
      </w:r>
      <w:r>
        <w:rPr>
          <w:rFonts w:ascii="Arial" w:hAnsi="Arial" w:hint="cs"/>
          <w:noProof w:val="0"/>
          <w:rtl/>
        </w:rPr>
        <w:tab/>
        <w:t xml:space="preserve">טעה בית משפט קמא עת קבע, כי לא עלה בידי המבקש להציג שינוי נסיבות מהותי כנדרש; העובדות ברורות ורואים את שינוי הנסיבות המהותי שחל. המבקש חזר על נימוקי בקשתו קמא, המובאים בסעיף 10 לעיל. </w:t>
      </w:r>
    </w:p>
    <w:p w:rsidR="00C26C16" w:rsidRDefault="00C26C16" w:rsidP="00C26C16">
      <w:pPr>
        <w:spacing w:before="120" w:line="360" w:lineRule="auto"/>
        <w:ind w:left="1361" w:hanging="567"/>
        <w:jc w:val="both"/>
        <w:rPr>
          <w:rFonts w:ascii="Arial" w:hAnsi="Arial"/>
          <w:noProof w:val="0"/>
          <w:rtl/>
        </w:rPr>
      </w:pPr>
      <w:r>
        <w:rPr>
          <w:rFonts w:ascii="Arial" w:hAnsi="Arial" w:hint="cs"/>
          <w:noProof w:val="0"/>
          <w:rtl/>
        </w:rPr>
        <w:t>ב.</w:t>
      </w:r>
      <w:r>
        <w:rPr>
          <w:rFonts w:ascii="Arial" w:hAnsi="Arial" w:hint="cs"/>
          <w:noProof w:val="0"/>
          <w:rtl/>
        </w:rPr>
        <w:tab/>
        <w:t>טעה בית המשפט קמא עת קבע כי הבקשה קמא הוגשה ללא פירוט עובדתי נדרש וכי לא הוצגו באופן גלוי כל הנתונים הכלכליים של המבקש, עת צירף המבקש מסמכים רפואיים ופירוט ההכנסות הנדרש.</w:t>
      </w:r>
    </w:p>
    <w:p w:rsidR="00C26C16" w:rsidRDefault="00C26C16" w:rsidP="00C26C16">
      <w:pPr>
        <w:spacing w:before="120" w:line="360" w:lineRule="auto"/>
        <w:ind w:left="1361" w:hanging="567"/>
        <w:jc w:val="both"/>
        <w:rPr>
          <w:rFonts w:ascii="Arial" w:hAnsi="Arial"/>
          <w:noProof w:val="0"/>
          <w:rtl/>
        </w:rPr>
      </w:pPr>
      <w:r>
        <w:rPr>
          <w:rFonts w:ascii="Arial" w:hAnsi="Arial" w:hint="cs"/>
          <w:noProof w:val="0"/>
          <w:rtl/>
        </w:rPr>
        <w:t>ג.</w:t>
      </w:r>
      <w:r>
        <w:rPr>
          <w:rFonts w:ascii="Arial" w:hAnsi="Arial" w:hint="cs"/>
          <w:noProof w:val="0"/>
          <w:rtl/>
        </w:rPr>
        <w:tab/>
        <w:t>טעה בית משפט קמא עת התעלם מהפער בין הכנסות המבקש משנת 2013 לבין הכנסותיו המועטות לשנת 2023. מדובר על פער של למעלה מחמישים אחוזים.</w:t>
      </w:r>
    </w:p>
    <w:p w:rsidR="00C26C16" w:rsidRDefault="00C26C16" w:rsidP="00C26C16">
      <w:pPr>
        <w:spacing w:before="120" w:line="360" w:lineRule="auto"/>
        <w:ind w:left="1361" w:hanging="567"/>
        <w:jc w:val="both"/>
        <w:rPr>
          <w:rFonts w:ascii="Arial" w:hAnsi="Arial"/>
          <w:noProof w:val="0"/>
          <w:rtl/>
        </w:rPr>
      </w:pPr>
      <w:r>
        <w:rPr>
          <w:rFonts w:ascii="Arial" w:hAnsi="Arial" w:hint="cs"/>
          <w:noProof w:val="0"/>
          <w:rtl/>
        </w:rPr>
        <w:t>ד.</w:t>
      </w:r>
      <w:r>
        <w:rPr>
          <w:rFonts w:ascii="Arial" w:hAnsi="Arial" w:hint="cs"/>
          <w:noProof w:val="0"/>
          <w:rtl/>
        </w:rPr>
        <w:tab/>
        <w:t>טעה בית משפט קמא עת קבע כי המבקש לא משלם את מזונות הקטין כסדרם ואף לא את חלקם. עיון בתיק ההוצל"פ שפתחה המשיבה מלמד כי אין בו פיגורים; עיון בדף החשבון של המשיבה מלמד כי המבקש משלם בצורה רציפה וקבועה את המזונות. אין כל חוסר תום לב בהתנהלות המבקש.</w:t>
      </w:r>
    </w:p>
    <w:p w:rsidR="00C26C16" w:rsidRDefault="00C26C16" w:rsidP="00C26C16">
      <w:pPr>
        <w:spacing w:before="120" w:line="360" w:lineRule="auto"/>
        <w:ind w:left="1361" w:hanging="567"/>
        <w:jc w:val="both"/>
        <w:rPr>
          <w:rFonts w:ascii="Arial" w:hAnsi="Arial"/>
          <w:noProof w:val="0"/>
          <w:rtl/>
        </w:rPr>
      </w:pPr>
      <w:r>
        <w:rPr>
          <w:rFonts w:ascii="Arial" w:hAnsi="Arial" w:hint="cs"/>
          <w:noProof w:val="0"/>
          <w:rtl/>
        </w:rPr>
        <w:t>ה.</w:t>
      </w:r>
      <w:r>
        <w:rPr>
          <w:rFonts w:ascii="Arial" w:hAnsi="Arial" w:hint="cs"/>
          <w:noProof w:val="0"/>
          <w:rtl/>
        </w:rPr>
        <w:tab/>
        <w:t xml:space="preserve">המבקש צבר חוב מזונות בתיק המל"ל מאחר שלא היה מודע לפסק הדין שניתן בשנת 2014, אך משלם את החוב הזה בתשלומים מול המל"ל. </w:t>
      </w:r>
    </w:p>
    <w:p w:rsidR="00C26C16" w:rsidRDefault="00C26C16" w:rsidP="00C26C16">
      <w:pPr>
        <w:spacing w:before="120" w:line="360" w:lineRule="auto"/>
        <w:ind w:left="1361" w:hanging="567"/>
        <w:jc w:val="both"/>
        <w:rPr>
          <w:rFonts w:ascii="Arial" w:hAnsi="Arial"/>
          <w:noProof w:val="0"/>
          <w:rtl/>
        </w:rPr>
      </w:pPr>
      <w:r>
        <w:rPr>
          <w:rFonts w:ascii="Arial" w:hAnsi="Arial" w:hint="cs"/>
          <w:noProof w:val="0"/>
          <w:rtl/>
        </w:rPr>
        <w:t>ו.</w:t>
      </w:r>
      <w:r>
        <w:rPr>
          <w:rFonts w:ascii="Arial" w:hAnsi="Arial" w:hint="cs"/>
          <w:noProof w:val="0"/>
          <w:rtl/>
        </w:rPr>
        <w:tab/>
        <w:t>לאור כל האמור לעיל, המקרה דנן חריג ויוצא דופן, ועל ערכאת הערעור להתערב בו.</w:t>
      </w:r>
    </w:p>
    <w:p w:rsidR="00C26C16" w:rsidRDefault="00C26C16" w:rsidP="00C26C16">
      <w:pPr>
        <w:spacing w:before="120" w:line="360" w:lineRule="auto"/>
        <w:ind w:left="1361" w:hanging="567"/>
        <w:jc w:val="both"/>
        <w:rPr>
          <w:rFonts w:ascii="Arial" w:hAnsi="Arial"/>
          <w:noProof w:val="0"/>
          <w:rtl/>
        </w:rPr>
      </w:pPr>
    </w:p>
    <w:p w:rsidR="00C26C16" w:rsidRPr="00C946FA" w:rsidRDefault="00C26C16" w:rsidP="00C26C16">
      <w:pPr>
        <w:spacing w:before="120" w:line="360" w:lineRule="auto"/>
        <w:ind w:left="720" w:hanging="720"/>
        <w:jc w:val="both"/>
        <w:rPr>
          <w:rFonts w:ascii="Arial" w:hAnsi="Arial"/>
          <w:b/>
          <w:bCs/>
          <w:noProof w:val="0"/>
          <w:u w:val="single"/>
          <w:rtl/>
        </w:rPr>
      </w:pPr>
      <w:r w:rsidRPr="00C946FA">
        <w:rPr>
          <w:rFonts w:ascii="Arial" w:hAnsi="Arial" w:hint="cs"/>
          <w:b/>
          <w:bCs/>
          <w:noProof w:val="0"/>
          <w:u w:val="single"/>
          <w:rtl/>
        </w:rPr>
        <w:t xml:space="preserve">דיון והכרעה  </w:t>
      </w:r>
    </w:p>
    <w:p w:rsidR="00C26C16" w:rsidRDefault="00C26C16" w:rsidP="00C26C16">
      <w:pPr>
        <w:spacing w:before="120"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r>
      <w:r w:rsidRPr="002E5483">
        <w:rPr>
          <w:rFonts w:ascii="Arial" w:hAnsi="Arial"/>
          <w:b/>
          <w:bCs/>
          <w:noProof w:val="0"/>
          <w:rtl/>
        </w:rPr>
        <w:t>לאחר עיון בבקשת רשות הערעור על נספחיה ובתיק קמא שוכנעתי לדחות את בקשת רשות הערעור אף ללא צורך בתשובה, מכח סמכותי על פי תקנות 138(א)</w:t>
      </w:r>
      <w:r>
        <w:rPr>
          <w:rFonts w:ascii="Arial" w:hAnsi="Arial" w:hint="cs"/>
          <w:b/>
          <w:bCs/>
          <w:noProof w:val="0"/>
          <w:rtl/>
        </w:rPr>
        <w:t>(1)+149 לת</w:t>
      </w:r>
      <w:r w:rsidRPr="002E5483">
        <w:rPr>
          <w:rFonts w:ascii="Arial" w:hAnsi="Arial"/>
          <w:b/>
          <w:bCs/>
          <w:noProof w:val="0"/>
          <w:rtl/>
        </w:rPr>
        <w:t>קנות</w:t>
      </w:r>
      <w:r>
        <w:rPr>
          <w:rFonts w:ascii="Arial" w:hAnsi="Arial" w:hint="cs"/>
          <w:noProof w:val="0"/>
          <w:rtl/>
        </w:rPr>
        <w:t xml:space="preserve"> </w:t>
      </w:r>
      <w:r w:rsidRPr="002E5483">
        <w:rPr>
          <w:rFonts w:ascii="Arial" w:hAnsi="Arial" w:hint="cs"/>
          <w:b/>
          <w:bCs/>
          <w:noProof w:val="0"/>
          <w:rtl/>
        </w:rPr>
        <w:t>סדר הדין האזרחי, תשע"ט-2018.</w:t>
      </w:r>
      <w:r>
        <w:rPr>
          <w:rFonts w:ascii="Arial" w:hAnsi="Arial" w:hint="cs"/>
          <w:noProof w:val="0"/>
          <w:rtl/>
        </w:rPr>
        <w:t xml:space="preserve"> </w:t>
      </w:r>
    </w:p>
    <w:p w:rsidR="00C26C16" w:rsidRDefault="00C26C16" w:rsidP="00C26C16">
      <w:pPr>
        <w:spacing w:before="120" w:line="360" w:lineRule="auto"/>
        <w:ind w:left="720" w:hanging="720"/>
        <w:jc w:val="both"/>
        <w:rPr>
          <w:rFonts w:ascii="Arial" w:hAnsi="Arial"/>
          <w:noProof w:val="0"/>
          <w:rtl/>
        </w:rPr>
      </w:pPr>
      <w:r>
        <w:rPr>
          <w:rFonts w:ascii="Arial" w:hAnsi="Arial" w:hint="cs"/>
          <w:noProof w:val="0"/>
          <w:rtl/>
        </w:rPr>
        <w:t>15.</w:t>
      </w:r>
      <w:r>
        <w:rPr>
          <w:rFonts w:ascii="Arial" w:hAnsi="Arial" w:hint="cs"/>
          <w:noProof w:val="0"/>
          <w:rtl/>
        </w:rPr>
        <w:tab/>
      </w:r>
      <w:r>
        <w:rPr>
          <w:rFonts w:ascii="Arial" w:hAnsi="Arial" w:hint="cs"/>
          <w:b/>
          <w:bCs/>
          <w:noProof w:val="0"/>
          <w:rtl/>
        </w:rPr>
        <w:t xml:space="preserve">עסקינן בהחלטה הדוחה בקשה לסעד זמני. </w:t>
      </w:r>
      <w:r w:rsidRPr="002023BE">
        <w:rPr>
          <w:rFonts w:ascii="Arial" w:hAnsi="Arial"/>
          <w:noProof w:val="0"/>
          <w:rtl/>
        </w:rPr>
        <w:t>הכלל הוא כי לערכאה הדיונית מסור שיקול דעת רחב בכל הנוגע להחלטות שעניינן סעדים זמניים, ונטיית ערכאת הערעור היא שלא להתערב בשיקול</w:t>
      </w:r>
      <w:r>
        <w:rPr>
          <w:rFonts w:ascii="Arial" w:hAnsi="Arial" w:hint="cs"/>
          <w:noProof w:val="0"/>
          <w:rtl/>
        </w:rPr>
        <w:t xml:space="preserve"> </w:t>
      </w:r>
      <w:r>
        <w:rPr>
          <w:rFonts w:ascii="Arial" w:hAnsi="Arial"/>
          <w:noProof w:val="0"/>
          <w:rtl/>
        </w:rPr>
        <w:t>דעת זה</w:t>
      </w:r>
      <w:r>
        <w:rPr>
          <w:rFonts w:ascii="Arial" w:hAnsi="Arial" w:hint="cs"/>
          <w:noProof w:val="0"/>
          <w:rtl/>
        </w:rPr>
        <w:t xml:space="preserve">, </w:t>
      </w:r>
      <w:r w:rsidRPr="002023BE">
        <w:rPr>
          <w:rFonts w:ascii="Arial" w:hAnsi="Arial"/>
          <w:noProof w:val="0"/>
          <w:rtl/>
        </w:rPr>
        <w:t>למעט במקרים חריגים</w:t>
      </w:r>
      <w:r>
        <w:rPr>
          <w:rFonts w:ascii="Arial" w:hAnsi="Arial" w:hint="cs"/>
          <w:noProof w:val="0"/>
          <w:rtl/>
        </w:rPr>
        <w:t>.</w:t>
      </w:r>
    </w:p>
    <w:p w:rsidR="00C26C16" w:rsidRDefault="00C26C16" w:rsidP="00C26C16">
      <w:pPr>
        <w:spacing w:before="120" w:line="360" w:lineRule="auto"/>
        <w:ind w:left="720" w:hanging="720"/>
        <w:jc w:val="both"/>
        <w:rPr>
          <w:rFonts w:ascii="Arial" w:hAnsi="Arial"/>
          <w:noProof w:val="0"/>
          <w:rtl/>
        </w:rPr>
      </w:pPr>
      <w:r>
        <w:rPr>
          <w:rFonts w:ascii="Arial" w:hAnsi="Arial"/>
          <w:noProof w:val="0"/>
          <w:rtl/>
        </w:rPr>
        <w:tab/>
      </w:r>
      <w:r w:rsidRPr="002023BE">
        <w:rPr>
          <w:rFonts w:ascii="Arial" w:hAnsi="Arial" w:hint="cs"/>
          <w:noProof w:val="0"/>
          <w:u w:val="single"/>
          <w:rtl/>
        </w:rPr>
        <w:t>ראו לעניין זה</w:t>
      </w:r>
      <w:r>
        <w:rPr>
          <w:rFonts w:ascii="Arial" w:hAnsi="Arial" w:hint="cs"/>
          <w:noProof w:val="0"/>
          <w:rtl/>
        </w:rPr>
        <w:t>:</w:t>
      </w:r>
    </w:p>
    <w:p w:rsidR="00C26C16" w:rsidRDefault="00C26C16" w:rsidP="00C26C16">
      <w:pPr>
        <w:spacing w:before="120" w:line="360" w:lineRule="auto"/>
        <w:ind w:left="720" w:hanging="720"/>
        <w:jc w:val="both"/>
        <w:rPr>
          <w:rFonts w:ascii="Arial" w:hAnsi="Arial"/>
          <w:noProof w:val="0"/>
          <w:rtl/>
        </w:rPr>
      </w:pPr>
      <w:r>
        <w:rPr>
          <w:rFonts w:ascii="Arial" w:hAnsi="Arial"/>
          <w:noProof w:val="0"/>
          <w:rtl/>
        </w:rPr>
        <w:tab/>
      </w:r>
      <w:r w:rsidRPr="002023BE">
        <w:rPr>
          <w:rFonts w:ascii="Arial" w:hAnsi="Arial"/>
          <w:noProof w:val="0"/>
          <w:rtl/>
        </w:rPr>
        <w:t>רע</w:t>
      </w:r>
      <w:r>
        <w:rPr>
          <w:rFonts w:ascii="Arial" w:hAnsi="Arial" w:hint="cs"/>
          <w:noProof w:val="0"/>
          <w:rtl/>
        </w:rPr>
        <w:t>"</w:t>
      </w:r>
      <w:r w:rsidRPr="002023BE">
        <w:rPr>
          <w:rFonts w:ascii="Arial" w:hAnsi="Arial"/>
          <w:noProof w:val="0"/>
          <w:rtl/>
        </w:rPr>
        <w:t>א 1378/2</w:t>
      </w:r>
      <w:r>
        <w:rPr>
          <w:rFonts w:ascii="Arial" w:hAnsi="Arial"/>
          <w:noProof w:val="0"/>
          <w:rtl/>
        </w:rPr>
        <w:t xml:space="preserve">3 </w:t>
      </w:r>
      <w:r w:rsidRPr="002023BE">
        <w:rPr>
          <w:rFonts w:ascii="Arial" w:hAnsi="Arial"/>
          <w:b/>
          <w:bCs/>
          <w:noProof w:val="0"/>
          <w:rtl/>
        </w:rPr>
        <w:t>מרק מלייב נ' סייקל כלכלה מעגלית למכלי משקה בע"מ</w:t>
      </w:r>
      <w:r>
        <w:rPr>
          <w:rFonts w:ascii="Arial" w:hAnsi="Arial" w:hint="cs"/>
          <w:noProof w:val="0"/>
          <w:rtl/>
        </w:rPr>
        <w:t xml:space="preserve"> (2.4.23), פסקה 9;</w:t>
      </w:r>
    </w:p>
    <w:p w:rsidR="00C26C16" w:rsidRDefault="00C26C16" w:rsidP="00C26C16">
      <w:pPr>
        <w:spacing w:before="120" w:line="360" w:lineRule="auto"/>
        <w:ind w:left="720" w:hanging="720"/>
        <w:jc w:val="both"/>
        <w:rPr>
          <w:rFonts w:ascii="Arial" w:hAnsi="Arial"/>
          <w:noProof w:val="0"/>
          <w:rtl/>
        </w:rPr>
      </w:pPr>
      <w:r>
        <w:rPr>
          <w:rFonts w:ascii="Arial" w:hAnsi="Arial"/>
          <w:noProof w:val="0"/>
          <w:rtl/>
        </w:rPr>
        <w:tab/>
      </w:r>
      <w:r w:rsidRPr="002023BE">
        <w:rPr>
          <w:rFonts w:ascii="Arial" w:hAnsi="Arial"/>
          <w:noProof w:val="0"/>
          <w:rtl/>
        </w:rPr>
        <w:t>רע</w:t>
      </w:r>
      <w:r>
        <w:rPr>
          <w:rFonts w:ascii="Arial" w:hAnsi="Arial" w:hint="cs"/>
          <w:noProof w:val="0"/>
          <w:rtl/>
        </w:rPr>
        <w:t>"</w:t>
      </w:r>
      <w:r>
        <w:rPr>
          <w:rFonts w:ascii="Arial" w:hAnsi="Arial"/>
          <w:noProof w:val="0"/>
          <w:rtl/>
        </w:rPr>
        <w:t>א 6685/17 ‏</w:t>
      </w:r>
      <w:r w:rsidRPr="002023BE">
        <w:rPr>
          <w:rFonts w:ascii="Arial" w:hAnsi="Arial"/>
          <w:b/>
          <w:bCs/>
          <w:noProof w:val="0"/>
          <w:rtl/>
        </w:rPr>
        <w:t>הר של הצלחה וברכה בע"מ נ' בנק הפועלים בע"מ</w:t>
      </w:r>
      <w:r>
        <w:rPr>
          <w:rFonts w:ascii="Arial" w:hAnsi="Arial" w:hint="cs"/>
          <w:noProof w:val="0"/>
          <w:rtl/>
        </w:rPr>
        <w:t xml:space="preserve"> (10.9.17 </w:t>
      </w:r>
      <w:r>
        <w:rPr>
          <w:rFonts w:ascii="Arial" w:hAnsi="Arial"/>
          <w:noProof w:val="0"/>
          <w:rtl/>
        </w:rPr>
        <w:t>–</w:t>
      </w:r>
      <w:r>
        <w:rPr>
          <w:rFonts w:ascii="Arial" w:hAnsi="Arial" w:hint="cs"/>
          <w:noProof w:val="0"/>
          <w:rtl/>
        </w:rPr>
        <w:t xml:space="preserve"> להלן: "</w:t>
      </w:r>
      <w:r w:rsidRPr="001943EF">
        <w:rPr>
          <w:rFonts w:ascii="Arial" w:hAnsi="Arial" w:hint="cs"/>
          <w:b/>
          <w:bCs/>
          <w:noProof w:val="0"/>
          <w:rtl/>
        </w:rPr>
        <w:t>עניין</w:t>
      </w:r>
      <w:r>
        <w:rPr>
          <w:rFonts w:ascii="Arial" w:hAnsi="Arial" w:hint="cs"/>
          <w:noProof w:val="0"/>
          <w:rtl/>
        </w:rPr>
        <w:t xml:space="preserve"> </w:t>
      </w:r>
      <w:r w:rsidRPr="001943EF">
        <w:rPr>
          <w:rFonts w:ascii="Arial" w:hAnsi="Arial" w:hint="cs"/>
          <w:b/>
          <w:bCs/>
          <w:noProof w:val="0"/>
          <w:rtl/>
        </w:rPr>
        <w:t>בנק הפועלים</w:t>
      </w:r>
      <w:r>
        <w:rPr>
          <w:rFonts w:ascii="Arial" w:hAnsi="Arial" w:hint="cs"/>
          <w:noProof w:val="0"/>
          <w:rtl/>
        </w:rPr>
        <w:t>") פסקה 15.</w:t>
      </w:r>
    </w:p>
    <w:p w:rsidR="00C26C16" w:rsidRPr="002023BE" w:rsidRDefault="00C26C16" w:rsidP="00C26C16">
      <w:pPr>
        <w:spacing w:before="120" w:line="360" w:lineRule="auto"/>
        <w:ind w:left="720" w:hanging="720"/>
        <w:jc w:val="both"/>
        <w:rPr>
          <w:rFonts w:ascii="Arial" w:hAnsi="Arial"/>
          <w:b/>
          <w:bCs/>
          <w:noProof w:val="0"/>
          <w:rtl/>
        </w:rPr>
      </w:pPr>
      <w:r>
        <w:rPr>
          <w:rFonts w:ascii="Arial" w:hAnsi="Arial"/>
          <w:noProof w:val="0"/>
          <w:rtl/>
        </w:rPr>
        <w:tab/>
      </w:r>
      <w:r w:rsidRPr="002023BE">
        <w:rPr>
          <w:rFonts w:ascii="Arial" w:hAnsi="Arial" w:hint="cs"/>
          <w:b/>
          <w:bCs/>
          <w:noProof w:val="0"/>
          <w:rtl/>
        </w:rPr>
        <w:t>לא מצאתי כי המקרה דנן נופל בגדר אותם מקרים חריגים.</w:t>
      </w:r>
    </w:p>
    <w:p w:rsidR="00C26C16" w:rsidRDefault="00C26C16" w:rsidP="00C26C16">
      <w:pPr>
        <w:spacing w:before="120" w:line="360" w:lineRule="auto"/>
        <w:ind w:left="720" w:hanging="720"/>
        <w:jc w:val="both"/>
        <w:rPr>
          <w:rFonts w:ascii="Arial" w:hAnsi="Arial"/>
          <w:noProof w:val="0"/>
          <w:rtl/>
        </w:rPr>
      </w:pPr>
      <w:r>
        <w:rPr>
          <w:rFonts w:ascii="Arial" w:hAnsi="Arial" w:hint="cs"/>
          <w:noProof w:val="0"/>
          <w:rtl/>
        </w:rPr>
        <w:lastRenderedPageBreak/>
        <w:t>16.</w:t>
      </w:r>
      <w:r>
        <w:rPr>
          <w:rFonts w:ascii="Arial" w:hAnsi="Arial" w:hint="cs"/>
          <w:noProof w:val="0"/>
          <w:rtl/>
        </w:rPr>
        <w:tab/>
        <w:t xml:space="preserve">לא זו אף זו </w:t>
      </w:r>
      <w:r>
        <w:rPr>
          <w:rFonts w:ascii="Arial" w:hAnsi="Arial"/>
          <w:noProof w:val="0"/>
          <w:rtl/>
        </w:rPr>
        <w:t>–</w:t>
      </w:r>
      <w:r>
        <w:rPr>
          <w:rFonts w:ascii="Arial" w:hAnsi="Arial" w:hint="cs"/>
          <w:noProof w:val="0"/>
          <w:rtl/>
        </w:rPr>
        <w:t xml:space="preserve"> בבקשה קמא, ביקש המבקש למעשה להעניק לו כבר בשלב מקדמי של בירור התובענה קמא, את הסעד העיקרי לו עתר. והרי "</w:t>
      </w:r>
      <w:r w:rsidRPr="001943EF">
        <w:rPr>
          <w:rFonts w:ascii="Arial" w:hAnsi="Arial"/>
          <w:b/>
          <w:bCs/>
          <w:noProof w:val="0"/>
          <w:rtl/>
        </w:rPr>
        <w:t>נקבע לא אחת כי הכלל הוא שאין לתת סעד זמני הזהה לסעד העיקרי המבוקש, וזהות הסעדים כשלעצמה מהווה שיקול שלא להיעתר לבקשה, ולו מפני שאין מקום להכריע בהליך העיקרי במסגרת הליך מקדמי</w:t>
      </w:r>
      <w:r>
        <w:rPr>
          <w:rFonts w:ascii="Arial" w:hAnsi="Arial" w:hint="cs"/>
          <w:noProof w:val="0"/>
          <w:rtl/>
        </w:rPr>
        <w:t>" (פסקה 14 ל</w:t>
      </w:r>
      <w:r w:rsidRPr="001943EF">
        <w:rPr>
          <w:rFonts w:ascii="Arial" w:hAnsi="Arial" w:hint="cs"/>
          <w:b/>
          <w:bCs/>
          <w:noProof w:val="0"/>
          <w:rtl/>
        </w:rPr>
        <w:t>עניין בנק הפועלים</w:t>
      </w:r>
      <w:r>
        <w:rPr>
          <w:rFonts w:ascii="Arial" w:hAnsi="Arial" w:hint="cs"/>
          <w:noProof w:val="0"/>
          <w:rtl/>
        </w:rPr>
        <w:t>).</w:t>
      </w:r>
    </w:p>
    <w:p w:rsidR="00C26C16" w:rsidRDefault="00C26C16" w:rsidP="00C26C16">
      <w:pPr>
        <w:spacing w:before="120" w:line="360" w:lineRule="auto"/>
        <w:ind w:left="720" w:hanging="720"/>
        <w:jc w:val="both"/>
        <w:rPr>
          <w:rFonts w:ascii="Arial" w:hAnsi="Arial"/>
          <w:noProof w:val="0"/>
          <w:rtl/>
        </w:rPr>
      </w:pPr>
      <w:r w:rsidRPr="001F1DAD">
        <w:rPr>
          <w:rFonts w:ascii="Arial" w:hAnsi="Arial" w:hint="cs"/>
          <w:noProof w:val="0"/>
          <w:rtl/>
        </w:rPr>
        <w:t>17.</w:t>
      </w:r>
      <w:r w:rsidRPr="001F1DAD">
        <w:rPr>
          <w:rFonts w:ascii="Arial" w:hAnsi="Arial" w:hint="cs"/>
          <w:noProof w:val="0"/>
          <w:rtl/>
        </w:rPr>
        <w:tab/>
        <w:t>אף לגופם של דברים, לא מצאתי כי יש להתערב בהחלטה קמא</w:t>
      </w:r>
      <w:r>
        <w:rPr>
          <w:rFonts w:ascii="Arial" w:hAnsi="Arial" w:hint="cs"/>
          <w:noProof w:val="0"/>
          <w:rtl/>
        </w:rPr>
        <w:t xml:space="preserve">. בית משפט קמא </w:t>
      </w:r>
      <w:r w:rsidRPr="002D09E3">
        <w:rPr>
          <w:rFonts w:ascii="Arial" w:hAnsi="Arial" w:hint="cs"/>
          <w:noProof w:val="0"/>
          <w:rtl/>
        </w:rPr>
        <w:t xml:space="preserve">בחן את התמונה העובדתית הדרושה לו להכרעה בבקשה לסעד זמני, </w:t>
      </w:r>
      <w:r w:rsidRPr="00D87140">
        <w:rPr>
          <w:rFonts w:ascii="Arial" w:hAnsi="Arial" w:hint="cs"/>
          <w:noProof w:val="0"/>
          <w:rtl/>
        </w:rPr>
        <w:t>לרבות תום ליבו של המבקש</w:t>
      </w:r>
      <w:r>
        <w:rPr>
          <w:rFonts w:ascii="Arial" w:hAnsi="Arial" w:hint="cs"/>
          <w:noProof w:val="0"/>
          <w:rtl/>
        </w:rPr>
        <w:t xml:space="preserve"> הרלוונטי לבקשה מעין זאת (סעד זמני), ומצא כי איננה מספקת</w:t>
      </w:r>
      <w:r w:rsidRPr="00CD6CD5">
        <w:rPr>
          <w:rFonts w:ascii="Arial" w:hAnsi="Arial" w:hint="cs"/>
          <w:noProof w:val="0"/>
          <w:rtl/>
        </w:rPr>
        <w:t xml:space="preserve"> בשלב זה. </w:t>
      </w:r>
      <w:r>
        <w:rPr>
          <w:rFonts w:ascii="Arial" w:hAnsi="Arial" w:hint="cs"/>
          <w:noProof w:val="0"/>
          <w:rtl/>
        </w:rPr>
        <w:t>אין זו דרכה של ערכאת הערעור להתערב בקביעות אלה (נפנה בעניין זה ל</w:t>
      </w:r>
      <w:r w:rsidRPr="00CD6CD5">
        <w:rPr>
          <w:rFonts w:ascii="Arial" w:hAnsi="Arial" w:hint="cs"/>
          <w:b/>
          <w:bCs/>
          <w:noProof w:val="0"/>
          <w:rtl/>
        </w:rPr>
        <w:t>עניין בנק הפועלים</w:t>
      </w:r>
      <w:r>
        <w:rPr>
          <w:rFonts w:ascii="Arial" w:hAnsi="Arial" w:hint="cs"/>
          <w:noProof w:val="0"/>
          <w:rtl/>
        </w:rPr>
        <w:t xml:space="preserve">, פסקה 15), מה גם שהתובענה קמא תמשיך להתברר ודיון ראשון נקבע למועד קרוב יחסית, ביום 25.2.24.  </w:t>
      </w:r>
    </w:p>
    <w:p w:rsidR="00C26C16" w:rsidRDefault="00C26C16" w:rsidP="00C26C16">
      <w:pPr>
        <w:spacing w:before="120"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Pr="002D09E3">
        <w:rPr>
          <w:rFonts w:ascii="Arial" w:hAnsi="Arial" w:hint="cs"/>
          <w:b/>
          <w:bCs/>
          <w:noProof w:val="0"/>
          <w:rtl/>
        </w:rPr>
        <w:t>במצב דברים זה לא מצאתי מתום בהחלטה קמא, ואני מורה על דחיית בקשת רשות ערעור זו, אף ללא צורך בתשובה</w:t>
      </w:r>
      <w:r>
        <w:rPr>
          <w:rFonts w:ascii="Arial" w:hAnsi="Arial" w:hint="cs"/>
          <w:noProof w:val="0"/>
          <w:rtl/>
        </w:rPr>
        <w:t>.</w:t>
      </w:r>
    </w:p>
    <w:p w:rsidR="00C26C16" w:rsidRDefault="00C26C16" w:rsidP="00C26C16">
      <w:pPr>
        <w:spacing w:before="120"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t xml:space="preserve">משלא התבקשה תשובה אין צו להוצאות. </w:t>
      </w:r>
    </w:p>
    <w:p w:rsidR="00C26C16" w:rsidRDefault="00C26C16" w:rsidP="00C26C16">
      <w:pPr>
        <w:spacing w:before="120" w:line="360" w:lineRule="auto"/>
        <w:ind w:left="720" w:hanging="720"/>
        <w:jc w:val="both"/>
        <w:rPr>
          <w:rFonts w:ascii="Arial" w:hAnsi="Arial"/>
          <w:noProof w:val="0"/>
          <w:rtl/>
        </w:rPr>
      </w:pPr>
    </w:p>
    <w:p w:rsidR="00694556" w:rsidRDefault="00C26C16" w:rsidP="00C26C16">
      <w:pPr>
        <w:spacing w:before="120" w:line="360" w:lineRule="auto"/>
        <w:ind w:left="720" w:hanging="720"/>
        <w:jc w:val="both"/>
        <w:rPr>
          <w:rFonts w:ascii="Arial" w:hAnsi="Arial"/>
          <w:noProof w:val="0"/>
          <w:rtl/>
        </w:rPr>
      </w:pPr>
      <w:r>
        <w:rPr>
          <w:rFonts w:ascii="Arial" w:hAnsi="Arial" w:hint="cs"/>
          <w:b/>
          <w:bCs/>
          <w:noProof w:val="0"/>
          <w:rtl/>
        </w:rPr>
        <w:t>החלטה זאת מותרת לפרסום תוך השמטת שמות הצדדים, וכל פרט מזהה אחר.</w:t>
      </w:r>
      <w:r>
        <w:rPr>
          <w:rFonts w:hint="cs"/>
          <w:rtl/>
        </w:rPr>
        <w:t xml:space="preserve">  </w:t>
      </w:r>
    </w:p>
    <w:p w:rsidR="00C26C16" w:rsidRDefault="00C26C16" w:rsidP="00C26C16">
      <w:pPr>
        <w:spacing w:before="120" w:line="360" w:lineRule="auto"/>
        <w:ind w:left="720" w:hanging="720"/>
        <w:jc w:val="both"/>
        <w:rPr>
          <w:rFonts w:ascii="Arial" w:hAnsi="Arial"/>
          <w:noProof w:val="0"/>
          <w:rtl/>
        </w:rPr>
      </w:pPr>
    </w:p>
    <w:p w:rsidR="00C26C16" w:rsidRPr="00B95D6E" w:rsidRDefault="00C26C16" w:rsidP="00C26C16">
      <w:pPr>
        <w:spacing w:before="120" w:line="360" w:lineRule="auto"/>
        <w:ind w:left="720" w:hanging="720"/>
        <w:jc w:val="both"/>
        <w:rPr>
          <w:rFonts w:ascii="Arial" w:hAnsi="Arial"/>
          <w:noProof w:val="0"/>
          <w:rtl/>
        </w:rPr>
      </w:pPr>
    </w:p>
    <w:p w:rsidR="00C43648" w:rsidRDefault="0043502B" w:rsidP="00C26C16">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נובמבר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26C16">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666628007"/>
        </w:sdtPr>
        <w:sdtEndPr/>
        <w:sdtContent>
          <w:r w:rsidR="00474B8F">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C26C16">
      <w:headerReference w:type="default" r:id="rId11"/>
      <w:footerReference w:type="default" r:id="rId12"/>
      <w:pgSz w:w="11907" w:h="16840" w:code="9"/>
      <w:pgMar w:top="1440" w:right="1275"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89E" w:rsidRDefault="00CC589E">
      <w:r>
        <w:separator/>
      </w:r>
    </w:p>
  </w:endnote>
  <w:endnote w:type="continuationSeparator" w:id="0">
    <w:p w:rsidR="00CC589E" w:rsidRDefault="00CC5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143B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143B9">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89E" w:rsidRDefault="00CC589E">
      <w:r>
        <w:separator/>
      </w:r>
    </w:p>
  </w:footnote>
  <w:footnote w:type="continuationSeparator" w:id="0">
    <w:p w:rsidR="00CC589E" w:rsidRDefault="00CC5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C26C16" w:rsidRDefault="00CC589E" w:rsidP="00405FDF">
          <w:pPr>
            <w:rPr>
              <w:b/>
              <w:bCs/>
              <w:noProof w:val="0"/>
              <w:sz w:val="26"/>
              <w:szCs w:val="26"/>
              <w:rtl/>
            </w:rPr>
          </w:pPr>
          <w:sdt>
            <w:sdtPr>
              <w:rPr>
                <w:rtl/>
              </w:rPr>
              <w:alias w:val="1170"/>
              <w:tag w:val="1170"/>
              <w:id w:val="1066377040"/>
              <w:text w:multiLine="1"/>
            </w:sdtPr>
            <w:sdtEndPr/>
            <w:sdtContent>
              <w:r w:rsidR="00AC585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15247-10-23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05FDF">
                <w:rPr>
                  <w:rFonts w:hint="cs"/>
                  <w:b/>
                  <w:bCs/>
                  <w:noProof w:val="0"/>
                  <w:sz w:val="26"/>
                  <w:szCs w:val="26"/>
                  <w:rtl/>
                </w:rPr>
                <w:t>ג'</w:t>
              </w:r>
              <w:r w:rsidR="00AC5857">
                <w:rPr>
                  <w:b/>
                  <w:bCs/>
                  <w:noProof w:val="0"/>
                  <w:sz w:val="26"/>
                  <w:szCs w:val="26"/>
                  <w:rtl/>
                </w:rPr>
                <w:t xml:space="preserve"> נ' </w:t>
              </w:r>
              <w:r w:rsidR="00405FDF">
                <w:rPr>
                  <w:rFonts w:hint="cs"/>
                  <w:b/>
                  <w:bCs/>
                  <w:noProof w:val="0"/>
                  <w:sz w:val="26"/>
                  <w:szCs w:val="26"/>
                  <w:rtl/>
                </w:rPr>
                <w:t>ק'</w:t>
              </w:r>
            </w:sdtContent>
          </w:sdt>
          <w:r w:rsidR="00CD516B">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30668F"/>
    <w:multiLevelType w:val="hybridMultilevel"/>
    <w:tmpl w:val="CCC2D47C"/>
    <w:lvl w:ilvl="0" w:tplc="4B8EF29C">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583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58373&amp;lt;/CaseID&amp;gt;_x000d__x000a_        &amp;lt;CaseMonth&amp;gt;10&amp;lt;/CaseMonth&amp;gt;_x000d__x000a_        &amp;lt;CaseYear&amp;gt;2023&amp;lt;/CaseYear&amp;gt;_x000d__x000a_        &amp;lt;CaseNumber&amp;gt;15247&amp;lt;/CaseNumber&amp;gt;_x000d__x000a_        &amp;lt;NumeratorGroupID&amp;gt;1&amp;lt;/NumeratorGroupID&amp;gt;_x000d__x000a_        &amp;lt;CaseName&amp;gt;גלנסקי נ&amp;#39; קוצ&amp;#39;מין&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5247-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3-10-11T07:1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58373&amp;lt;/CaseID&amp;gt;_x000d__x000a_        &amp;lt;CaseMonth&amp;gt;10&amp;lt;/CaseMonth&amp;gt;_x000d__x000a_        &amp;lt;CaseYear&amp;gt;2023&amp;lt;/CaseYear&amp;gt;_x000d__x000a_        &amp;lt;CaseNumber&amp;gt;15247&amp;lt;/CaseNumber&amp;gt;_x000d__x000a_        &amp;lt;NumeratorGroupID&amp;gt;1&amp;lt;/NumeratorGroupID&amp;gt;_x000d__x000a_        &amp;lt;CaseName&amp;gt;גלנסקי נ&amp;#39; קוצ&amp;#39;מין&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15247-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3-10-11T07:12: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003798&amp;lt;/DecisionID&amp;gt;_x000d__x000a_        &amp;lt;DecisionName&amp;gt;החלטה  שניתנה ע&amp;quot;י  חננאל שרעבי&amp;lt;/DecisionName&amp;gt;_x000d__x000a_        &amp;lt;DecisionStatusID&amp;gt;1&amp;lt;/DecisionStatusID&amp;gt;_x000d__x000a_        &amp;lt;DecisionStatusChangeDate&amp;gt;2023-11-13T11:22:53.35+02:00&amp;lt;/DecisionStatusChangeDate&amp;gt;_x000d__x000a_        &amp;lt;DecisionSignatureDate&amp;gt;2023-11-13T11:18:49.347+02:00&amp;lt;/DecisionSignatureDate&amp;gt;_x000d__x000a_        &amp;lt;DecisionSignatureUserID&amp;gt;056479827@GOV.IL&amp;lt;/DecisionSignatureUserID&amp;gt;_x000d__x000a_        &amp;lt;DecisionCreateDate&amp;gt;2023-11-13T11:22:53.29+02:00&amp;lt;/DecisionCreateDate&amp;gt;_x000d__x000a_        &amp;lt;DecisionChangeDate&amp;gt;2023-11-13T11:22:53.367+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77115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5&amp;lt;/DecisionNumberInCase&amp;gt;_x000d__x000a_      &amp;lt;/dt_Decision&amp;gt;_x000d__x000a_      &amp;lt;dt_DecisionCase diffgr:id=&amp;quot;dt_DecisionCase1&amp;quot; msdata:rowOrder=&amp;quot;0&amp;quot;&amp;gt;_x000d__x000a_        &amp;lt;DecisionID&amp;gt;148003798&amp;lt;/DecisionID&amp;gt;_x000d__x000a_        &amp;lt;CaseID&amp;gt;80658373&amp;lt;/CaseID&amp;gt;_x000d__x000a_        &amp;lt;IsOriginal&amp;gt;true&amp;lt;/IsOriginal&amp;gt;_x000d__x000a_        &amp;lt;IsDeleted&amp;gt;false&amp;lt;/IsDeleted&amp;gt;_x000d__x000a_        &amp;lt;CaseName&amp;gt;גלנסקי נ&amp;#39; קוצ&amp;#39;מין&amp;lt;/CaseName&amp;gt;_x000d__x000a_        &amp;lt;CaseDisplayIdentifier&amp;gt;15247-10-23 רמ&amp;quot;ש&amp;lt;/CaseDisplayIdentifier&amp;gt;_x000d__x000a_      &amp;lt;/dt_DecisionCase&amp;gt;_x000d__x000a_    &amp;lt;/DecisionDS&amp;gt;_x000d__x000a_  &amp;lt;/diffgr:diffgram&amp;gt;_x000d__x000a_&amp;lt;/DecisionDS&amp;gt;"/>
    <w:docVar w:name="DecisionID" w:val="148003798"/>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1F5EDC"/>
    <w:rsid w:val="002265FF"/>
    <w:rsid w:val="00235B97"/>
    <w:rsid w:val="00271B56"/>
    <w:rsid w:val="002C0376"/>
    <w:rsid w:val="002C344E"/>
    <w:rsid w:val="002E75E9"/>
    <w:rsid w:val="002F0B1E"/>
    <w:rsid w:val="00307A6A"/>
    <w:rsid w:val="00307C40"/>
    <w:rsid w:val="00312396"/>
    <w:rsid w:val="00320433"/>
    <w:rsid w:val="003230C7"/>
    <w:rsid w:val="00327E50"/>
    <w:rsid w:val="0033597A"/>
    <w:rsid w:val="00343D89"/>
    <w:rsid w:val="00362612"/>
    <w:rsid w:val="0036743F"/>
    <w:rsid w:val="003715DD"/>
    <w:rsid w:val="003823E0"/>
    <w:rsid w:val="003976BD"/>
    <w:rsid w:val="003A4521"/>
    <w:rsid w:val="003B3E8D"/>
    <w:rsid w:val="003D1C8C"/>
    <w:rsid w:val="0040096C"/>
    <w:rsid w:val="00405FDF"/>
    <w:rsid w:val="00414F1F"/>
    <w:rsid w:val="0043125D"/>
    <w:rsid w:val="0043502B"/>
    <w:rsid w:val="004443AC"/>
    <w:rsid w:val="00444B02"/>
    <w:rsid w:val="00451E28"/>
    <w:rsid w:val="004549C7"/>
    <w:rsid w:val="00462C62"/>
    <w:rsid w:val="00465D36"/>
    <w:rsid w:val="00474B8F"/>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76873"/>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047A"/>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26C16"/>
    <w:rsid w:val="00C31120"/>
    <w:rsid w:val="00C34482"/>
    <w:rsid w:val="00C43648"/>
    <w:rsid w:val="00C50A9F"/>
    <w:rsid w:val="00C642FA"/>
    <w:rsid w:val="00CC589E"/>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143B9"/>
    <w:rsid w:val="00F44D1D"/>
    <w:rsid w:val="00F84B6D"/>
    <w:rsid w:val="00F957E8"/>
    <w:rsid w:val="00FA311A"/>
    <w:rsid w:val="00FA5FDA"/>
    <w:rsid w:val="00FA7FD0"/>
    <w:rsid w:val="00FB6AB3"/>
    <w:rsid w:val="00FD1419"/>
    <w:rsid w:val="00FD79E4"/>
    <w:rsid w:val="00FE09EC"/>
    <w:rsid w:val="00FE2894"/>
    <w:rsid w:val="00FF23E6"/>
    <w:rsid w:val="00FF430C"/>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26C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F4E46" w:rsidP="00CF4E4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6ED032A673F245B883849137EF75C129"/>
        <w:category>
          <w:name w:val="כללי"/>
          <w:gallery w:val="placeholder"/>
        </w:category>
        <w:types>
          <w:type w:val="bbPlcHdr"/>
        </w:types>
        <w:behaviors>
          <w:behavior w:val="content"/>
        </w:behaviors>
        <w:guid w:val="{5514EC6D-B11C-4739-84D7-BFE01EA86508}"/>
      </w:docPartPr>
      <w:docPartBody>
        <w:p w:rsidR="007E3B4E" w:rsidRDefault="00CF4E46" w:rsidP="00CF4E46">
          <w:pPr>
            <w:pStyle w:val="6ED032A673F245B883849137EF75C129"/>
          </w:pPr>
          <w:r w:rsidRPr="00CD516B">
            <w:rPr>
              <w:rFonts w:ascii="Arial" w:hAnsi="Arial"/>
              <w:b/>
              <w:bCs/>
              <w:sz w:val="26"/>
              <w:szCs w:val="26"/>
              <w:rtl/>
            </w:rPr>
            <w:t>שם צד א' ללא שם של חסוי</w:t>
          </w:r>
        </w:p>
      </w:docPartBody>
    </w:docPart>
    <w:docPart>
      <w:docPartPr>
        <w:name w:val="EF5F2A3745DA4F91ABBE2B633E6DBEB4"/>
        <w:category>
          <w:name w:val="כללי"/>
          <w:gallery w:val="placeholder"/>
        </w:category>
        <w:types>
          <w:type w:val="bbPlcHdr"/>
        </w:types>
        <w:behaviors>
          <w:behavior w:val="content"/>
        </w:behaviors>
        <w:guid w:val="{D99C67B0-4446-4F13-A096-E37F6974F926}"/>
      </w:docPartPr>
      <w:docPartBody>
        <w:p w:rsidR="007E3B4E" w:rsidRDefault="00CF4E46" w:rsidP="00CF4E46">
          <w:pPr>
            <w:pStyle w:val="EF5F2A3745DA4F91ABBE2B633E6DBEB4"/>
          </w:pPr>
          <w:r w:rsidRPr="00CD516B">
            <w:rPr>
              <w:rFonts w:ascii="Arial" w:hAnsi="Arial"/>
              <w:b/>
              <w:bCs/>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77CE2"/>
    <w:rsid w:val="0048651F"/>
    <w:rsid w:val="004B017A"/>
    <w:rsid w:val="005157ED"/>
    <w:rsid w:val="00556D67"/>
    <w:rsid w:val="00673B50"/>
    <w:rsid w:val="00793995"/>
    <w:rsid w:val="007C6F98"/>
    <w:rsid w:val="007E254A"/>
    <w:rsid w:val="007E3B4E"/>
    <w:rsid w:val="008B4366"/>
    <w:rsid w:val="009051BA"/>
    <w:rsid w:val="009133C7"/>
    <w:rsid w:val="009178E4"/>
    <w:rsid w:val="00961B27"/>
    <w:rsid w:val="009A36E7"/>
    <w:rsid w:val="00AA7CE3"/>
    <w:rsid w:val="00B50DB2"/>
    <w:rsid w:val="00B72BC2"/>
    <w:rsid w:val="00B91FA3"/>
    <w:rsid w:val="00BD69D1"/>
    <w:rsid w:val="00BE6557"/>
    <w:rsid w:val="00C96C06"/>
    <w:rsid w:val="00CF4E46"/>
    <w:rsid w:val="00D24521"/>
    <w:rsid w:val="00D6580E"/>
    <w:rsid w:val="00DC2C2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F4E4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CF4E46"/>
    <w:pPr>
      <w:bidi/>
      <w:spacing w:after="0" w:line="240" w:lineRule="auto"/>
    </w:pPr>
    <w:rPr>
      <w:rFonts w:ascii="Times New Roman" w:eastAsia="Times New Roman" w:hAnsi="Times New Roman" w:cs="David"/>
      <w:noProof/>
      <w:sz w:val="24"/>
      <w:szCs w:val="24"/>
    </w:rPr>
  </w:style>
  <w:style w:type="paragraph" w:customStyle="1" w:styleId="6ED032A673F245B883849137EF75C129">
    <w:name w:val="6ED032A673F245B883849137EF75C129"/>
    <w:rsid w:val="00CF4E46"/>
    <w:pPr>
      <w:bidi/>
      <w:spacing w:after="160" w:line="259" w:lineRule="auto"/>
    </w:pPr>
  </w:style>
  <w:style w:type="paragraph" w:customStyle="1" w:styleId="EF5F2A3745DA4F91ABBE2B633E6DBEB4">
    <w:name w:val="EF5F2A3745DA4F91ABBE2B633E6DBEB4"/>
    <w:rsid w:val="00CF4E46"/>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261699861</CasePartyID>
        <PartyTypeID>3</PartyTypeID>
        <ActivityStatusID>1</ActivityStatusID>
        <LegalEntityID>7537325</LegalEntityID>
        <CaseLegalEntityID>126327611</CaseLegalEntityID>
        <AssistantRoleID>26</AssistantRoleID>
        <AuthenticationTypeID>13</AuthenticationTypeID>
        <AuthenticationTypeName>משרדי ממשלה</AuthenticationTypeName>
        <LegalEntityNumber>513442022</LegalEntityNumber>
        <IsMainPartyType>true</IsMainPartyType>
        <CaseDisplayIdentifier>15247-10-23</CaseDisplayIdentifier>
        <CaseTypeID>10074</CaseTypeID>
        <CaseTypeName>רשות ערעור משפחה (רמ"ש)</CaseTypeName>
        <CaseName>גלנסקי נ' קוצ'מין</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אירנה שוורצבורד</FullName>
        <FirstName>אירנה</FirstName>
        <LastName>שוורצבורד</LastName>
        <PartyPropertyName/>
        <AuthenticationTypeAndNumber>מ.ר. 34967</AuthenticationTypeAndNumber>
        <RepresentatedOrRepresentativesNames>אנטונינה קוצ'מין</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261351229</CasePartyID>
        <PartyTypeID>2</PartyTypeID>
        <ActivityStatusID>1</ActivityStatusID>
        <PartyAliasID>23</PartyAliasID>
        <PartyAliasName>בא כוח משיבים</PartyAliasName>
        <LegalEntityID>407251</LegalEntityID>
        <CaseLegalEntityID>126201832</CaseLegalEntityID>
        <AuthenticationTypeID>4</AuthenticationTypeID>
        <AuthenticationTypeName>מ.ר.</AuthenticationTypeName>
        <LegalEntityNumber>34967</LegalEntityNumber>
        <IsMainPartyType>true</IsMainPartyType>
        <CaseDisplayIdentifier>15247-10-23</CaseDisplayIdentifier>
        <CaseTypeID>10074</CaseTypeID>
        <CaseTypeName>רשות ערעור משפחה (רמ"ש)</CaseTypeName>
        <CaseName>גלנסקי נ' קוצ'מין</CaseName>
        <FullAddress>ת.ד 3410 קריית מוצקין </FullAddress>
        <EmailAddress>irenadvokat@gmail.com</EmailAddress>
        <MotionID>0</MotionID>
        <CasePleaID>0</CasePleaID>
        <LinkedCaseID>0</LinkedCaseID>
        <PartyID>2</PartyID>
        <CasePartyCategoryID>2</CasePartyCategoryID>
        <LegalEntityAddressID>74501400</LegalEntityAddressID>
        <LegalEntityEmailAddressID>67847659</LegalEntityEmailAddressID>
        <PleaTypeID>5</PleaTypeID>
        <LawyerOfficeName>משרד עו"ד: אירנה שוורצבורד</LawyerOfficeName>
        <LawyerOfficeID>447895</LawyerOfficeID>
        <GroupPartyAlias/>
        <IsConverted>false</IsConverted>
        <LegalEntityNameID>34810879</LegalEntityNameID>
        <RepresentatedNamesOfAssistant/>
        <LegalEntityTypeID>4</LegalEntityTypeID>
        <IsVerdictExists>false</IsVerdictExists>
        <IsAsirAzir>false</IsAsirAzir>
        <IsPublicationProhibited>false</IsPublicationProhibited>
        <PublicationProhibitedFullName>אירנה שוורצבורד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נאדר יוסף</FullName>
        <FirstName>נאדר</FirstName>
        <LastName>יוסף</LastName>
        <PartyPropertyName/>
        <AuthenticationTypeAndNumber>מ.ר. 36532</AuthenticationTypeAndNumber>
        <RepresentatedOrRepresentativesNames>יורי גלנסקי</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261351039</CasePartyID>
        <PartyTypeID>2</PartyTypeID>
        <ActivityStatusID>1</ActivityStatusID>
        <PartyAliasID>22</PartyAliasID>
        <PartyAliasName>בא כוח מבקשים</PartyAliasName>
        <OrdinalNumber>1</OrdinalNumber>
        <LegalEntityID>408644</LegalEntityID>
        <CaseLegalEntityID>126201747</CaseLegalEntityID>
        <AuthenticationTypeID>4</AuthenticationTypeID>
        <AuthenticationTypeName>מ.ר.</AuthenticationTypeName>
        <LegalEntityNumber>36532</LegalEntityNumber>
        <IsMainPartyType>true</IsMainPartyType>
        <CaseDisplayIdentifier>15247-10-23</CaseDisplayIdentifier>
        <CaseTypeID>10074</CaseTypeID>
        <CaseTypeName>רשות ערעור משפחה (רמ"ש)</CaseTypeName>
        <CaseName>גלנסקי נ' קוצ'מין</CaseName>
        <FullAddress>אליהו הנביא 2 חיפה </FullAddress>
        <MotionID>0</MotionID>
        <CasePleaID>0</CasePleaID>
        <LinkedCaseID>0</LinkedCaseID>
        <PartyID>1</PartyID>
        <CasePartyCategoryID>2</CasePartyCategoryID>
        <LegalEntityAddressID>83179314</LegalEntityAddressID>
        <PleaTypeID>5</PleaTypeID>
        <LawyerOfficeName>משרד עו"ד: נאדר יוסף</LawyerOfficeName>
        <LawyerOfficeID>449288</LawyerOfficeID>
        <GroupPartyAlias/>
        <IsConverted>false</IsConverted>
        <LegalEntityNameID>29628</LegalEntityNameID>
        <RepresentatedNamesOfAssistant/>
        <LegalEntityTypeID>4</LegalEntityTypeID>
        <IsVerdictExists>false</IsVerdictExists>
        <IsAsirAzir>false</IsAsirAzir>
        <IsPublicationProhibited>false</IsPublicationProhibited>
        <PublicationProhibitedFullName>נאדר יוסף</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יורי גלנסקי</FullName>
        <FirstName>יורי</FirstName>
        <LastName>גלנסקי</LastName>
        <PartyPropertyName/>
        <AuthenticationTypeAndNumber>ת"ז 320619844</AuthenticationTypeAndNumber>
        <RepresentatedOrRepresentativesNames>נאדר יוסף</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261351037</CasePartyID>
        <PartyTypeID>1</PartyTypeID>
        <ActivityStatusID>1</ActivityStatusID>
        <PartyAliasID>3</PartyAliasID>
        <PartyAliasName>מבקש</PartyAliasName>
        <OrdinalNumber>1</OrdinalNumber>
        <LegalEntityID>2398456</LegalEntityID>
        <CaseLegalEntityID>126201745</CaseLegalEntityID>
        <AuthenticationTypeID>1</AuthenticationTypeID>
        <AuthenticationTypeName>ת"ז</AuthenticationTypeName>
        <LegalEntityNumber>320619844</LegalEntityNumber>
        <IsMainPartyType>true</IsMainPartyType>
        <CaseDisplayIdentifier>15247-10-23</CaseDisplayIdentifier>
        <CaseTypeID>10074</CaseTypeID>
        <CaseTypeName>רשות ערעור משפחה (רמ"ש)</CaseTypeName>
        <CaseName>גלנסקי נ' קוצ'מין</CaseName>
        <FullAddress>צה"ל 7 דירה 14 קריית ים </FullAddress>
        <MotionID>0</MotionID>
        <CasePleaID>0</CasePleaID>
        <FatherName>יבגני</FatherName>
        <LinkedCaseID>0</LinkedCaseID>
        <PartyID>1</PartyID>
        <CasePartyCategoryID>2</CasePartyCategoryID>
        <LegalEntityAddressID>88143867</LegalEntityAddressID>
        <PleaTypeID>5</PleaTypeID>
        <GroupPartyAlias>מבקשים</GroupPartyAlias>
        <IsConverted>false</IsConverted>
        <LegalEntityRegisteredNameID>6763893</LegalEntityRegisteredNameID>
        <LegalEntityNameID>95143408</LegalEntityNameID>
        <RepresentatedNamesOfAssistant/>
        <LegalEntityTypeID>1</LegalEntityTypeID>
        <IsVerdictExists>false</IsVerdictExists>
        <IsAsirAzir>false</IsAsirAzir>
        <IsPublicationProhibited>false</IsPublicationProhibited>
        <PublicationProhibitedFullName>יורי גלנסקי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אנטונינה קוצ'מין</FullName>
        <FirstName>אנטונינה</FirstName>
        <LastName>קוצ'מין</LastName>
        <PartyPropertyName/>
        <AuthenticationTypeAndNumber>ת"ז 327458444</AuthenticationTypeAndNumber>
        <RepresentatedOrRepresentativesNames>אירנה שוורצבורד</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261351038</CasePartyID>
        <PartyTypeID>1</PartyTypeID>
        <ActivityStatusID>1</ActivityStatusID>
        <PartyAliasID>4</PartyAliasID>
        <PartyAliasName>משיב</PartyAliasName>
        <OrdinalNumber>1</OrdinalNumber>
        <LegalEntityID>70135927</LegalEntityID>
        <CaseLegalEntityID>126201746</CaseLegalEntityID>
        <AuthenticationTypeID>1</AuthenticationTypeID>
        <AuthenticationTypeName>ת"ז</AuthenticationTypeName>
        <LegalEntityNumber>327458444</LegalEntityNumber>
        <IsMainPartyType>true</IsMainPartyType>
        <CaseDisplayIdentifier>15247-10-23</CaseDisplayIdentifier>
        <CaseTypeID>10074</CaseTypeID>
        <CaseTypeName>רשות ערעור משפחה (רמ"ש)</CaseTypeName>
        <CaseName>גלנסקי נ' קוצ'מין</CaseName>
        <FullAddress>הטרטיזנים 1/11 קריית ביאליק </FullAddress>
        <MotionID>0</MotionID>
        <CasePleaID>0</CasePleaID>
        <FatherName>אלכסנדר</FatherName>
        <LinkedCaseID>0</LinkedCaseID>
        <PartyID>2</PartyID>
        <CasePartyCategoryID>2</CasePartyCategoryID>
        <LegalEntityAddressID>88143868</LegalEntityAddressID>
        <PleaTypeID>5</PleaTypeID>
        <GroupPartyAlias>משיבים</GroupPartyAlias>
        <IsConverted>false</IsConverted>
        <LegalEntityRegisteredNameID>6763894</LegalEntityRegisteredNameID>
        <LegalEntityNameID>95143409</LegalEntityNameID>
        <RepresentatedNamesOfAssistant/>
        <LegalEntityTypeID>1</LegalEntityTypeID>
        <IsVerdictExists>false</IsVerdictExists>
        <IsAsirAzir>false</IsAsirAzir>
        <IsPublicationProhibited>false</IsPublicationProhibited>
        <PublicationProhibitedFullName>אנטונינה קוצ'מין</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2023-11-13T11:18:49.3457511+02:00</DecisionSignatureDate>
    <OpenCaseDate>2023-10-11T07:12:00+03:00</OpenCaseDate>
    <CaseFeeSum>0.000</CaseFeeSum>
    <DecisionTypeID>1</DecisionTypeID>
    <DecisionSignatureUserName>חננאל שרעבי</DecisionSignatureUserName>
    <DecisionSignatureDateHebrew>2023-11-13T11:18:49.3457511+02:00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גלנסקי נ' קוצ'מין</CaseName>
    <DecisionNumberInCase>5</DecisionNumberInCase>
  </dt_Decision>
  <dt_DecisionCase>
    <DecisionID>0</DecisionID>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261699861</CasePartyID>
        <PartyTypeID>3</PartyTypeID>
        <ActivityStatusID>1</ActivityStatusID>
        <LegalEntityID>7537325</LegalEntityID>
        <CaseLegalEntityID>126327611</CaseLegalEntityID>
        <AssistantRoleID>26</AssistantRoleID>
        <AuthenticationTypeID>13</AuthenticationTypeID>
        <AuthenticationTypeName>משרדי ממשלה</AuthenticationTypeName>
        <LegalEntityNumber>513442022</LegalEntityNumber>
        <IsMainPartyType>true</IsMainPartyType>
        <CaseDisplayIdentifier>15247-10-23</CaseDisplayIdentifier>
        <CaseTypeID>10074</CaseTypeID>
        <CaseTypeName>רשות ערעור משפחה (רמ"ש)</CaseTypeName>
        <CaseName>גלנסקי נ' קוצ'מין</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אירנה שוורצבורד</FullName>
        <FirstName>אירנה</FirstName>
        <LastName>שוורצבורד</LastName>
        <PartyPropertyName/>
        <AuthenticationTypeAndNumber>מ.ר. 34967</AuthenticationTypeAndNumber>
        <RepresentatedOrRepresentativesNames>אנטונינה קוצ'מין</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261351229</CasePartyID>
        <PartyTypeID>2</PartyTypeID>
        <ActivityStatusID>1</ActivityStatusID>
        <PartyAliasID>23</PartyAliasID>
        <PartyAliasName>בא כוח משיבים</PartyAliasName>
        <LegalEntityID>407251</LegalEntityID>
        <CaseLegalEntityID>126201832</CaseLegalEntityID>
        <AuthenticationTypeID>4</AuthenticationTypeID>
        <AuthenticationTypeName>מ.ר.</AuthenticationTypeName>
        <LegalEntityNumber>34967</LegalEntityNumber>
        <IsMainPartyType>true</IsMainPartyType>
        <CaseDisplayIdentifier>15247-10-23</CaseDisplayIdentifier>
        <CaseTypeID>10074</CaseTypeID>
        <CaseTypeName>רשות ערעור משפחה (רמ"ש)</CaseTypeName>
        <CaseName>גלנסקי נ' קוצ'מין</CaseName>
        <FullAddress>ת.ד 3410 קריית מוצקין </FullAddress>
        <EmailAddress>irenadvokat@gmail.com</EmailAddress>
        <MotionID>0</MotionID>
        <CasePleaID>0</CasePleaID>
        <LinkedCaseID>0</LinkedCaseID>
        <PartyID>2</PartyID>
        <CasePartyCategoryID>2</CasePartyCategoryID>
        <LegalEntityAddressID>74501400</LegalEntityAddressID>
        <LegalEntityEmailAddressID>67847659</LegalEntityEmailAddressID>
        <PleaTypeID>5</PleaTypeID>
        <LawyerOfficeName>משרד עו"ד: אירנה שוורצבורד</LawyerOfficeName>
        <LawyerOfficeID>447895</LawyerOfficeID>
        <GroupPartyAlias/>
        <IsConverted>false</IsConverted>
        <LegalEntityNameID>34810879</LegalEntityNameID>
        <RepresentatedNamesOfAssistant/>
        <LegalEntityTypeID>4</LegalEntityTypeID>
        <IsVerdictExists>false</IsVerdictExists>
        <IsAsirAzir>false</IsAsirAzir>
        <IsPublicationProhibited>false</IsPublicationProhibited>
        <PublicationProhibitedFullName>אירנה שוורצבורד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נאדר יוסף</FullName>
        <FirstName>נאדר</FirstName>
        <LastName>יוסף</LastName>
        <PartyPropertyName/>
        <AuthenticationTypeAndNumber>מ.ר. 36532</AuthenticationTypeAndNumber>
        <RepresentatedOrRepresentativesNames>יורי גלנסקי</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261351039</CasePartyID>
        <PartyTypeID>2</PartyTypeID>
        <ActivityStatusID>1</ActivityStatusID>
        <PartyAliasID>22</PartyAliasID>
        <PartyAliasName>בא כוח מבקשים</PartyAliasName>
        <OrdinalNumber>1</OrdinalNumber>
        <LegalEntityID>408644</LegalEntityID>
        <CaseLegalEntityID>126201747</CaseLegalEntityID>
        <AuthenticationTypeID>4</AuthenticationTypeID>
        <AuthenticationTypeName>מ.ר.</AuthenticationTypeName>
        <LegalEntityNumber>36532</LegalEntityNumber>
        <IsMainPartyType>true</IsMainPartyType>
        <CaseDisplayIdentifier>15247-10-23</CaseDisplayIdentifier>
        <CaseTypeID>10074</CaseTypeID>
        <CaseTypeName>רשות ערעור משפחה (רמ"ש)</CaseTypeName>
        <CaseName>גלנסקי נ' קוצ'מין</CaseName>
        <FullAddress>אליהו הנביא 2 חיפה </FullAddress>
        <MotionID>0</MotionID>
        <CasePleaID>0</CasePleaID>
        <LinkedCaseID>0</LinkedCaseID>
        <PartyID>1</PartyID>
        <CasePartyCategoryID>2</CasePartyCategoryID>
        <LegalEntityAddressID>83179314</LegalEntityAddressID>
        <PleaTypeID>5</PleaTypeID>
        <LawyerOfficeName>משרד עו"ד: נאדר יוסף</LawyerOfficeName>
        <LawyerOfficeID>449288</LawyerOfficeID>
        <GroupPartyAlias/>
        <IsConverted>false</IsConverted>
        <LegalEntityNameID>29628</LegalEntityNameID>
        <RepresentatedNamesOfAssistant/>
        <LegalEntityTypeID>4</LegalEntityTypeID>
        <IsVerdictExists>false</IsVerdictExists>
        <IsAsirAzir>false</IsAsirAzir>
        <IsPublicationProhibited>false</IsPublicationProhibited>
        <PublicationProhibitedFullName>נאדר יוסף</PublicationProhibitedFullName>
      </CaseParties>
      <CaseParties>
        <PartyTypeName>צד</PartyTypeName>
        <ProceedingType>כתב טענות עיקרי</ProceedingType>
        <PleaName>כתב בקשה</PleaName>
        <PartyBelonging>צד א'</PartyBelonging>
        <RoleName>מבקש 1 - תובע</RoleName>
        <IsSubProceeding>FALSE</IsSubProceeding>
        <FullName>יורי גלנסקי</FullName>
        <FirstName>יורי</FirstName>
        <LastName>גלנסקי</LastName>
        <PartyPropertyName/>
        <AuthenticationTypeAndNumber>ת"ז 320619844</AuthenticationTypeAndNumber>
        <RepresentatedOrRepresentativesNames>נאדר יוסף</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261351037</CasePartyID>
        <PartyTypeID>1</PartyTypeID>
        <ActivityStatusID>1</ActivityStatusID>
        <PartyAliasID>3</PartyAliasID>
        <PartyAliasName>מבקש</PartyAliasName>
        <OrdinalNumber>1</OrdinalNumber>
        <LegalEntityID>2398456</LegalEntityID>
        <CaseLegalEntityID>126201745</CaseLegalEntityID>
        <AuthenticationTypeID>1</AuthenticationTypeID>
        <AuthenticationTypeName>ת"ז</AuthenticationTypeName>
        <LegalEntityNumber>320619844</LegalEntityNumber>
        <IsMainPartyType>true</IsMainPartyType>
        <CaseDisplayIdentifier>15247-10-23</CaseDisplayIdentifier>
        <CaseTypeID>10074</CaseTypeID>
        <CaseTypeName>רשות ערעור משפחה (רמ"ש)</CaseTypeName>
        <CaseName>גלנסקי נ' קוצ'מין</CaseName>
        <FullAddress>צה"ל 7 דירה 14 קריית ים </FullAddress>
        <MotionID>0</MotionID>
        <CasePleaID>0</CasePleaID>
        <FatherName>יבגני</FatherName>
        <LinkedCaseID>0</LinkedCaseID>
        <PartyID>1</PartyID>
        <CasePartyCategoryID>2</CasePartyCategoryID>
        <LegalEntityAddressID>88143867</LegalEntityAddressID>
        <PleaTypeID>5</PleaTypeID>
        <GroupPartyAlias>מבקשים</GroupPartyAlias>
        <IsConverted>false</IsConverted>
        <LegalEntityRegisteredNameID>6763893</LegalEntityRegisteredNameID>
        <LegalEntityNameID>95143408</LegalEntityNameID>
        <RepresentatedNamesOfAssistant/>
        <LegalEntityTypeID>1</LegalEntityTypeID>
        <IsVerdictExists>false</IsVerdictExists>
        <IsAsirAzir>false</IsAsirAzir>
        <IsPublicationProhibited>false</IsPublicationProhibited>
        <PublicationProhibitedFullName>יורי גלנסקי</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אנטונינה קוצ'מין</FullName>
        <FirstName>אנטונינה</FirstName>
        <LastName>קוצ'מין</LastName>
        <PartyPropertyName/>
        <AuthenticationTypeAndNumber>ת"ז 327458444</AuthenticationTypeAndNumber>
        <RepresentatedOrRepresentativesNames>אירנה שוורצבורד</RepresentatedOrRepresentativesNames>
        <RepresentatedOrRepresentativesCount>1</RepresentatedOrRepresentativesCount>
        <InvitedBy/>
        <CaseID>80658373</CaseID>
        <CaseJudicialPersonPresentationDS>
          <CaseJudicalPersonActive>
            <CaseID>80658373</CaseID>
            <JudicialPersonID>056479827@GOV.IL</JudicialPersonID>
            <JudicialPersonTypeID>1</JudicialPersonTypeID>
            <JudicialTypeID>1</JudicialTypeID>
            <IsChairman>false</IsChairman>
            <TreatmentStartDate>2023-11-12T14:39:28.833+02:00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261351038</CasePartyID>
        <PartyTypeID>1</PartyTypeID>
        <ActivityStatusID>1</ActivityStatusID>
        <PartyAliasID>4</PartyAliasID>
        <PartyAliasName>משיב</PartyAliasName>
        <OrdinalNumber>1</OrdinalNumber>
        <LegalEntityID>70135927</LegalEntityID>
        <CaseLegalEntityID>126201746</CaseLegalEntityID>
        <AuthenticationTypeID>1</AuthenticationTypeID>
        <AuthenticationTypeName>ת"ז</AuthenticationTypeName>
        <LegalEntityNumber>327458444</LegalEntityNumber>
        <IsMainPartyType>true</IsMainPartyType>
        <CaseDisplayIdentifier>15247-10-23</CaseDisplayIdentifier>
        <CaseTypeID>10074</CaseTypeID>
        <CaseTypeName>רשות ערעור משפחה (רמ"ש)</CaseTypeName>
        <CaseName>גלנסקי נ' קוצ'מין</CaseName>
        <FullAddress>הטרטיזנים 1/11 קריית ביאליק </FullAddress>
        <MotionID>0</MotionID>
        <CasePleaID>0</CasePleaID>
        <FatherName>אלכסנדר</FatherName>
        <LinkedCaseID>0</LinkedCaseID>
        <PartyID>2</PartyID>
        <CasePartyCategoryID>2</CasePartyCategoryID>
        <LegalEntityAddressID>88143868</LegalEntityAddressID>
        <PleaTypeID>5</PleaTypeID>
        <GroupPartyAlias>משיבים</GroupPartyAlias>
        <IsConverted>false</IsConverted>
        <LegalEntityRegisteredNameID>6763894</LegalEntityRegisteredNameID>
        <LegalEntityNameID>95143409</LegalEntityNameID>
        <RepresentatedNamesOfAssistant/>
        <LegalEntityTypeID>1</LegalEntityTypeID>
        <IsVerdictExists>false</IsVerdictExists>
        <IsAsirAzir>false</IsAsirAzir>
        <IsPublicationProhibited>false</IsPublicationProhibited>
        <PublicationProhibitedFullName>אנטונינה קוצ'מין</PublicationProhibitedFullName>
      </CaseParties>
    </CasePartiesSelectionDS>
    <CaseName>גלנסקי נ' קוצ'מין</CaseName>
    <CaseDisplayIdentifier>15247-10-23</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Fax>077-5497760</Fax>
    <Phone>077-5497760</Phone>
    <PartyID>2</PartyID>
    <PartyTypeID>2</PartyTypeID>
    <DecisionID>0</DecisionID>
    <StreetName>ת.ד 3410</StreetName>
    <ZipCode>26133</ZipCode>
    <CityName>קריית מוצקין</CityName>
    <FullName>אירנה שוורצבורד</FullName>
    <Email>irenadvokat@gmail.com</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PartyID>1</PartyID>
    <PartyTypeID>1</PartyTypeID>
    <DecisionID>0</DecisionID>
    <StreetName>צה"ל 7 דירה 14</StreetName>
    <CityName>קריית ים</CityName>
    <FullName>יורי גלנסקי</FullName>
    <IsPublicationProhibited>false</IsPublicationProhibited>
  </dt_LegalEntityDetails>
  <dt_LegalEntityDetails>
    <PartyID>2</PartyID>
    <PartyTypeID>1</PartyTypeID>
    <DecisionID>0</DecisionID>
    <StreetName>הטרטיזנים 1/11</StreetName>
    <CityName>קריית ביאליק</CityName>
    <FullName>אנטונינה קוצ'מין</FullName>
    <IsPublicationProhibited>false</IsPublicationProhibited>
  </dt_LegalEntityDetails>
  <dt_LegalEntityDetails>
    <Fax>153-86001175</Fax>
    <Phone>04-8600173</Phone>
    <PartyID>1</PartyID>
    <PartyTypeID>2</PartyTypeID>
    <DecisionID>0</DecisionID>
    <StreetName>אליהו הנביא 2</StreetName>
    <ZipCode>3303530</ZipCode>
    <CityName>חיפה</CityName>
    <FullName>נאדר יוסף</FullName>
    <Email>yossefnader03@gmail.com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4DCC8-D424-4CE1-A118-5635DDFD1B1B}">
  <ds:schemaRefs/>
</ds:datastoreItem>
</file>

<file path=customXml/itemProps2.xml><?xml version="1.0" encoding="utf-8"?>
<ds:datastoreItem xmlns:ds="http://schemas.openxmlformats.org/officeDocument/2006/customXml" ds:itemID="{CCB8C533-9EA3-4ED8-83C2-F28B3BFE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1700</Words>
  <Characters>8502</Characters>
  <Application>Microsoft Office Word</Application>
  <DocSecurity>0</DocSecurity>
  <Lines>70</Lines>
  <Paragraphs>20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2023-11-23T10:37:00Z</dcterms:created>
  <dcterms:modified xsi:type="dcterms:W3CDTF">2023-11-23T10:37:00Z</dcterms:modified>
</cp:coreProperties>
</file>